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834A429" w14:textId="09773B9B" w:rsidR="002B2F16" w:rsidRPr="00A6312F" w:rsidRDefault="002B2F16" w:rsidP="002B2F16">
      <w:pPr>
        <w:pStyle w:val="Header"/>
        <w:keepLines/>
        <w:tabs>
          <w:tab w:val="right" w:pos="10440"/>
          <w:tab w:val="right" w:pos="13323"/>
        </w:tabs>
        <w:rPr>
          <w:rFonts w:eastAsia="SimSun" w:cs="Arial"/>
          <w:bCs/>
          <w:sz w:val="24"/>
          <w:szCs w:val="24"/>
          <w:lang w:eastAsia="zh-CN"/>
        </w:rPr>
      </w:pPr>
      <w:bookmarkStart w:id="0" w:name="Title"/>
      <w:bookmarkStart w:id="1" w:name="DocumentFor"/>
      <w:bookmarkStart w:id="2" w:name="_Hlk3548187"/>
      <w:bookmarkStart w:id="3" w:name="_Toc508617208"/>
      <w:bookmarkEnd w:id="0"/>
      <w:bookmarkEnd w:id="1"/>
      <w:r w:rsidRPr="00A6312F">
        <w:rPr>
          <w:rFonts w:cs="Arial"/>
          <w:bCs/>
          <w:sz w:val="24"/>
          <w:szCs w:val="24"/>
        </w:rPr>
        <w:t>3GPP TSG-RAN WG4 Meeting #</w:t>
      </w:r>
      <w:r w:rsidRPr="00A6312F">
        <w:rPr>
          <w:bCs/>
        </w:rPr>
        <w:t xml:space="preserve"> </w:t>
      </w:r>
      <w:r w:rsidRPr="00A6312F">
        <w:rPr>
          <w:rFonts w:cs="Arial"/>
          <w:bCs/>
          <w:sz w:val="24"/>
          <w:szCs w:val="24"/>
        </w:rPr>
        <w:t>9</w:t>
      </w:r>
      <w:r>
        <w:rPr>
          <w:rFonts w:cs="Arial"/>
          <w:bCs/>
          <w:sz w:val="24"/>
          <w:szCs w:val="24"/>
        </w:rPr>
        <w:t>9</w:t>
      </w:r>
      <w:r w:rsidRPr="00A6312F">
        <w:rPr>
          <w:rFonts w:cs="Arial"/>
          <w:bCs/>
          <w:sz w:val="24"/>
          <w:szCs w:val="24"/>
        </w:rPr>
        <w:t>-e</w:t>
      </w:r>
      <w:r w:rsidRPr="00A6312F">
        <w:rPr>
          <w:rFonts w:cs="Arial"/>
          <w:bCs/>
          <w:sz w:val="24"/>
          <w:szCs w:val="24"/>
        </w:rPr>
        <w:tab/>
      </w:r>
      <w:r w:rsidR="00062092" w:rsidRPr="00062092">
        <w:rPr>
          <w:rFonts w:cs="Arial"/>
          <w:bCs/>
          <w:sz w:val="24"/>
          <w:szCs w:val="24"/>
        </w:rPr>
        <w:t>R4-2111001</w:t>
      </w:r>
    </w:p>
    <w:p w14:paraId="468AB055" w14:textId="77777777" w:rsidR="002B2F16" w:rsidRPr="00A6312F" w:rsidRDefault="002B2F16" w:rsidP="002B2F16">
      <w:pPr>
        <w:pStyle w:val="Header"/>
        <w:tabs>
          <w:tab w:val="right" w:pos="9781"/>
          <w:tab w:val="right" w:pos="13323"/>
        </w:tabs>
        <w:outlineLvl w:val="0"/>
        <w:rPr>
          <w:rFonts w:eastAsia="SimSun"/>
          <w:bCs/>
          <w:sz w:val="24"/>
          <w:szCs w:val="24"/>
          <w:lang w:eastAsia="zh-CN"/>
        </w:rPr>
      </w:pPr>
      <w:r w:rsidRPr="00A6312F">
        <w:rPr>
          <w:rFonts w:eastAsia="SimSun"/>
          <w:bCs/>
          <w:sz w:val="24"/>
          <w:szCs w:val="24"/>
          <w:lang w:eastAsia="zh-CN"/>
        </w:rPr>
        <w:t xml:space="preserve">Electronic Meeting, </w:t>
      </w:r>
      <w:r>
        <w:rPr>
          <w:rFonts w:cs="Arial"/>
          <w:sz w:val="24"/>
        </w:rPr>
        <w:t>19</w:t>
      </w:r>
      <w:r w:rsidRPr="001B28D7">
        <w:rPr>
          <w:rFonts w:cs="Arial"/>
          <w:sz w:val="24"/>
        </w:rPr>
        <w:t xml:space="preserve"> </w:t>
      </w:r>
      <w:r>
        <w:rPr>
          <w:rFonts w:cs="Arial"/>
          <w:sz w:val="24"/>
        </w:rPr>
        <w:t>– 27</w:t>
      </w:r>
      <w:r w:rsidRPr="001B28D7">
        <w:rPr>
          <w:rFonts w:cs="Arial"/>
          <w:sz w:val="24"/>
        </w:rPr>
        <w:t xml:space="preserve"> </w:t>
      </w:r>
      <w:r>
        <w:rPr>
          <w:rFonts w:cs="Arial"/>
          <w:sz w:val="24"/>
        </w:rPr>
        <w:t>May 2021</w:t>
      </w:r>
    </w:p>
    <w:p w14:paraId="35952387" w14:textId="77777777" w:rsidR="00816C9D" w:rsidRPr="0008103A" w:rsidRDefault="00816C9D" w:rsidP="00816C9D">
      <w:pPr>
        <w:rPr>
          <w:rFonts w:ascii="Arial" w:hAnsi="Arial" w:cs="Arial"/>
          <w:b/>
          <w:sz w:val="24"/>
          <w:szCs w:val="24"/>
        </w:rPr>
      </w:pPr>
    </w:p>
    <w:p w14:paraId="35952388" w14:textId="316585CE" w:rsidR="00816C9D" w:rsidRPr="0008103A" w:rsidRDefault="00816C9D" w:rsidP="00816C9D">
      <w:pPr>
        <w:tabs>
          <w:tab w:val="left" w:pos="2160"/>
        </w:tabs>
        <w:rPr>
          <w:rFonts w:ascii="Arial" w:hAnsi="Arial" w:cs="Arial"/>
          <w:b/>
          <w:sz w:val="24"/>
          <w:szCs w:val="24"/>
        </w:rPr>
      </w:pPr>
      <w:r w:rsidRPr="0008103A">
        <w:rPr>
          <w:rFonts w:ascii="Arial" w:hAnsi="Arial" w:cs="Arial"/>
          <w:b/>
          <w:sz w:val="24"/>
          <w:szCs w:val="24"/>
        </w:rPr>
        <w:t>Agenda item:</w:t>
      </w:r>
      <w:r w:rsidRPr="0008103A">
        <w:rPr>
          <w:rFonts w:ascii="Arial" w:hAnsi="Arial" w:cs="Arial"/>
          <w:b/>
          <w:sz w:val="24"/>
          <w:szCs w:val="24"/>
        </w:rPr>
        <w:tab/>
      </w:r>
      <w:r w:rsidR="00D904FD" w:rsidRPr="00D904FD">
        <w:rPr>
          <w:rFonts w:ascii="Arial" w:hAnsi="Arial" w:cs="Arial"/>
          <w:sz w:val="24"/>
          <w:szCs w:val="24"/>
        </w:rPr>
        <w:t>9.1.1</w:t>
      </w:r>
    </w:p>
    <w:p w14:paraId="35952389" w14:textId="77777777" w:rsidR="00816C9D" w:rsidRPr="0008103A" w:rsidRDefault="00816C9D" w:rsidP="00816C9D">
      <w:pPr>
        <w:tabs>
          <w:tab w:val="left" w:pos="2160"/>
        </w:tabs>
        <w:rPr>
          <w:rFonts w:ascii="Arial" w:hAnsi="Arial" w:cs="Arial"/>
          <w:b/>
          <w:sz w:val="24"/>
          <w:szCs w:val="24"/>
        </w:rPr>
      </w:pPr>
      <w:r w:rsidRPr="0008103A">
        <w:rPr>
          <w:rFonts w:ascii="Arial" w:hAnsi="Arial" w:cs="Arial"/>
          <w:b/>
          <w:sz w:val="24"/>
          <w:szCs w:val="24"/>
        </w:rPr>
        <w:t>Source:</w:t>
      </w:r>
      <w:r w:rsidRPr="0008103A">
        <w:rPr>
          <w:rFonts w:ascii="Arial" w:hAnsi="Arial" w:cs="Arial"/>
          <w:b/>
          <w:sz w:val="24"/>
          <w:szCs w:val="24"/>
        </w:rPr>
        <w:tab/>
      </w:r>
      <w:r w:rsidR="00347574" w:rsidRPr="00052390">
        <w:rPr>
          <w:rFonts w:ascii="Arial" w:hAnsi="Arial" w:cs="Arial"/>
          <w:sz w:val="24"/>
          <w:szCs w:val="24"/>
        </w:rPr>
        <w:t>Keysight Technologies</w:t>
      </w:r>
    </w:p>
    <w:p w14:paraId="3595238A" w14:textId="080BC3FE" w:rsidR="00816C9D" w:rsidRPr="0008103A" w:rsidRDefault="00816C9D" w:rsidP="00816C9D">
      <w:pPr>
        <w:tabs>
          <w:tab w:val="left" w:pos="2250"/>
        </w:tabs>
        <w:ind w:left="2160" w:hanging="2160"/>
        <w:rPr>
          <w:rFonts w:ascii="Arial" w:hAnsi="Arial" w:cs="Arial"/>
          <w:b/>
          <w:sz w:val="24"/>
          <w:szCs w:val="24"/>
        </w:rPr>
      </w:pPr>
      <w:r w:rsidRPr="0008103A">
        <w:rPr>
          <w:rFonts w:ascii="Arial" w:hAnsi="Arial" w:cs="Arial"/>
          <w:b/>
          <w:sz w:val="24"/>
          <w:szCs w:val="24"/>
        </w:rPr>
        <w:t>Title:</w:t>
      </w:r>
      <w:r w:rsidRPr="0008103A">
        <w:rPr>
          <w:rFonts w:ascii="Arial" w:hAnsi="Arial" w:cs="Arial"/>
          <w:b/>
          <w:sz w:val="24"/>
          <w:szCs w:val="24"/>
        </w:rPr>
        <w:tab/>
      </w:r>
      <w:bookmarkStart w:id="4" w:name="_Hlk517280009"/>
      <w:r w:rsidR="003425B0">
        <w:rPr>
          <w:rFonts w:ascii="Arial" w:hAnsi="Arial" w:cs="Arial"/>
          <w:sz w:val="24"/>
          <w:szCs w:val="24"/>
        </w:rPr>
        <w:t xml:space="preserve">On Blocking </w:t>
      </w:r>
      <w:r w:rsidR="00D904FD">
        <w:rPr>
          <w:rFonts w:ascii="Arial" w:hAnsi="Arial" w:cs="Arial"/>
          <w:sz w:val="24"/>
          <w:szCs w:val="24"/>
        </w:rPr>
        <w:t>Issue</w:t>
      </w:r>
      <w:r w:rsidR="003425B0">
        <w:rPr>
          <w:rFonts w:ascii="Arial" w:hAnsi="Arial" w:cs="Arial"/>
          <w:sz w:val="24"/>
          <w:szCs w:val="24"/>
        </w:rPr>
        <w:t xml:space="preserve"> for FR2 MIMO OTA</w:t>
      </w:r>
      <w:r w:rsidR="00861C5F">
        <w:rPr>
          <w:rFonts w:ascii="Arial" w:hAnsi="Arial" w:cs="Arial"/>
          <w:b/>
          <w:sz w:val="24"/>
          <w:szCs w:val="24"/>
        </w:rPr>
        <w:t xml:space="preserve"> </w:t>
      </w:r>
      <w:bookmarkEnd w:id="4"/>
    </w:p>
    <w:p w14:paraId="3595238B" w14:textId="6085F867" w:rsidR="00816C9D" w:rsidRPr="0008103A" w:rsidRDefault="00816C9D" w:rsidP="00816C9D">
      <w:pPr>
        <w:tabs>
          <w:tab w:val="left" w:pos="2160"/>
        </w:tabs>
        <w:rPr>
          <w:rFonts w:ascii="Arial" w:hAnsi="Arial" w:cs="Arial"/>
          <w:b/>
          <w:sz w:val="24"/>
          <w:szCs w:val="24"/>
        </w:rPr>
      </w:pPr>
      <w:r w:rsidRPr="0008103A">
        <w:rPr>
          <w:rFonts w:ascii="Arial" w:hAnsi="Arial" w:cs="Arial"/>
          <w:b/>
          <w:sz w:val="24"/>
          <w:szCs w:val="24"/>
        </w:rPr>
        <w:t>Document for:</w:t>
      </w:r>
      <w:r w:rsidRPr="0008103A">
        <w:rPr>
          <w:rFonts w:ascii="Arial" w:hAnsi="Arial" w:cs="Arial"/>
          <w:b/>
          <w:sz w:val="24"/>
          <w:szCs w:val="24"/>
        </w:rPr>
        <w:tab/>
      </w:r>
      <w:r w:rsidR="006A692A">
        <w:rPr>
          <w:rFonts w:ascii="Arial" w:hAnsi="Arial" w:cs="Arial"/>
          <w:sz w:val="24"/>
          <w:szCs w:val="24"/>
        </w:rPr>
        <w:t>Approval</w:t>
      </w:r>
    </w:p>
    <w:bookmarkEnd w:id="2"/>
    <w:p w14:paraId="3595238C" w14:textId="77777777" w:rsidR="00816C9D" w:rsidRDefault="00816C9D" w:rsidP="001E1CF6">
      <w:pPr>
        <w:pStyle w:val="Heading1"/>
        <w:ind w:left="567" w:hanging="567"/>
      </w:pPr>
      <w:r w:rsidRPr="00647B25">
        <w:t>Introduction</w:t>
      </w:r>
    </w:p>
    <w:p w14:paraId="2552C69D" w14:textId="59F58E0D" w:rsidR="00241706" w:rsidRPr="00241706" w:rsidRDefault="003425B0" w:rsidP="00241706">
      <w:pPr>
        <w:ind w:left="48"/>
        <w:rPr>
          <w:rFonts w:eastAsia="Batang"/>
        </w:rPr>
      </w:pPr>
      <w:r>
        <w:rPr>
          <w:rFonts w:eastAsia="Batang"/>
        </w:rPr>
        <w:t xml:space="preserve">This contribution addresses the need </w:t>
      </w:r>
      <w:r w:rsidR="006C565C">
        <w:rPr>
          <w:rFonts w:eastAsia="Batang"/>
        </w:rPr>
        <w:t xml:space="preserve">to revisit the QoQZ procedure </w:t>
      </w:r>
      <w:r w:rsidR="004D670E">
        <w:rPr>
          <w:rFonts w:eastAsia="Batang"/>
        </w:rPr>
        <w:t xml:space="preserve">and MU elements due to blocking </w:t>
      </w:r>
      <w:r w:rsidR="006C565C">
        <w:rPr>
          <w:rFonts w:eastAsia="Batang"/>
        </w:rPr>
        <w:t>which was discussed in</w:t>
      </w:r>
      <w:r w:rsidR="002B2F16">
        <w:rPr>
          <w:rFonts w:eastAsia="Batang"/>
        </w:rPr>
        <w:t xml:space="preserve"> the last couple RAN4 meetings</w:t>
      </w:r>
      <w:r w:rsidR="006C565C">
        <w:rPr>
          <w:rFonts w:eastAsia="Batang"/>
        </w:rPr>
        <w:t xml:space="preserve">. </w:t>
      </w:r>
      <w:r w:rsidR="00864C2F">
        <w:rPr>
          <w:rFonts w:eastAsia="Batang"/>
        </w:rPr>
        <w:t xml:space="preserve">This contribution is a continuation of </w:t>
      </w:r>
      <w:r w:rsidR="00864C2F">
        <w:rPr>
          <w:rFonts w:eastAsia="Batang"/>
        </w:rPr>
        <w:fldChar w:fldCharType="begin"/>
      </w:r>
      <w:r w:rsidR="00864C2F">
        <w:rPr>
          <w:rFonts w:eastAsia="Batang"/>
        </w:rPr>
        <w:instrText xml:space="preserve"> REF _Ref70589027 \n \h </w:instrText>
      </w:r>
      <w:r w:rsidR="00864C2F">
        <w:rPr>
          <w:rFonts w:eastAsia="Batang"/>
        </w:rPr>
      </w:r>
      <w:r w:rsidR="00864C2F">
        <w:rPr>
          <w:rFonts w:eastAsia="Batang"/>
        </w:rPr>
        <w:fldChar w:fldCharType="separate"/>
      </w:r>
      <w:r w:rsidR="001F20E5">
        <w:rPr>
          <w:rFonts w:eastAsia="Batang"/>
        </w:rPr>
        <w:t>[1]</w:t>
      </w:r>
      <w:r w:rsidR="00864C2F">
        <w:rPr>
          <w:rFonts w:eastAsia="Batang"/>
        </w:rPr>
        <w:fldChar w:fldCharType="end"/>
      </w:r>
      <w:r w:rsidR="00864C2F">
        <w:rPr>
          <w:rFonts w:eastAsia="Batang"/>
        </w:rPr>
        <w:t xml:space="preserve">. </w:t>
      </w:r>
    </w:p>
    <w:p w14:paraId="3595238E" w14:textId="77777777" w:rsidR="0053435C" w:rsidRDefault="00AF0F4C" w:rsidP="0053435C">
      <w:pPr>
        <w:pStyle w:val="Heading1"/>
        <w:ind w:left="567" w:hanging="567"/>
      </w:pPr>
      <w:r>
        <w:t>Discussion</w:t>
      </w:r>
    </w:p>
    <w:p w14:paraId="1933C84D" w14:textId="7E6A4B9F" w:rsidR="004D670E" w:rsidRDefault="004D670E" w:rsidP="00E03F11">
      <w:r>
        <w:t xml:space="preserve">In RAN4#98-e, the WF captured the need to further study the FR2 blocking issues of the probes, specifically </w:t>
      </w:r>
      <w:r w:rsidR="00062E1E">
        <w:t xml:space="preserve">from </w:t>
      </w:r>
      <w:r w:rsidR="00EC71D4">
        <w:t>P</w:t>
      </w:r>
      <w:r>
        <w:t>robe #3</w:t>
      </w:r>
      <w:r w:rsidR="00062E1E">
        <w:t xml:space="preserve"> </w:t>
      </w:r>
      <w:r w:rsidR="00864C2F">
        <w:fldChar w:fldCharType="begin"/>
      </w:r>
      <w:r w:rsidR="00864C2F">
        <w:instrText xml:space="preserve"> REF _Ref70589071 \n \h </w:instrText>
      </w:r>
      <w:r w:rsidR="00864C2F">
        <w:fldChar w:fldCharType="separate"/>
      </w:r>
      <w:r w:rsidR="001F20E5">
        <w:t>[2]</w:t>
      </w:r>
      <w:r w:rsidR="00864C2F">
        <w:fldChar w:fldCharType="end"/>
      </w:r>
    </w:p>
    <w:tbl>
      <w:tblPr>
        <w:tblStyle w:val="TableGrid"/>
        <w:tblW w:w="0" w:type="auto"/>
        <w:tblLook w:val="04A0" w:firstRow="1" w:lastRow="0" w:firstColumn="1" w:lastColumn="0" w:noHBand="0" w:noVBand="1"/>
      </w:tblPr>
      <w:tblGrid>
        <w:gridCol w:w="9631"/>
      </w:tblGrid>
      <w:tr w:rsidR="004D670E" w14:paraId="1F688A79" w14:textId="77777777" w:rsidTr="004D670E">
        <w:tc>
          <w:tcPr>
            <w:tcW w:w="9631" w:type="dxa"/>
          </w:tcPr>
          <w:p w14:paraId="65F89B4A" w14:textId="77777777" w:rsidR="004D670E" w:rsidRPr="004D670E" w:rsidRDefault="004D670E" w:rsidP="004D670E">
            <w:pPr>
              <w:numPr>
                <w:ilvl w:val="0"/>
                <w:numId w:val="43"/>
              </w:numPr>
              <w:rPr>
                <w:lang w:val="en-US"/>
              </w:rPr>
            </w:pPr>
            <w:r w:rsidRPr="004D670E">
              <w:rPr>
                <w:b/>
                <w:bCs/>
              </w:rPr>
              <w:t>System implementation of FR2 3D-MPAC system</w:t>
            </w:r>
          </w:p>
          <w:p w14:paraId="0D6A5AA0" w14:textId="77777777" w:rsidR="004D670E" w:rsidRPr="004D670E" w:rsidRDefault="004D670E" w:rsidP="004D670E">
            <w:pPr>
              <w:numPr>
                <w:ilvl w:val="1"/>
                <w:numId w:val="43"/>
              </w:numPr>
              <w:rPr>
                <w:lang w:val="en-US"/>
              </w:rPr>
            </w:pPr>
            <w:r w:rsidRPr="004D670E">
              <w:rPr>
                <w:lang w:val="en-US"/>
              </w:rPr>
              <w:t>Keep the probe locations the same among system implementations at this time, but enhanced implementation or solution can be considered by RAN4 in future</w:t>
            </w:r>
          </w:p>
          <w:p w14:paraId="3400D7EE" w14:textId="4B9A8167" w:rsidR="004D670E" w:rsidRPr="004D670E" w:rsidRDefault="004D670E" w:rsidP="00E03F11">
            <w:pPr>
              <w:numPr>
                <w:ilvl w:val="1"/>
                <w:numId w:val="43"/>
              </w:numPr>
              <w:rPr>
                <w:lang w:val="en-US"/>
              </w:rPr>
            </w:pPr>
            <w:r w:rsidRPr="004D670E">
              <w:rPr>
                <w:highlight w:val="yellow"/>
                <w:lang w:val="en-US"/>
              </w:rPr>
              <w:t>Further study how to address the FR2 blocking issue</w:t>
            </w:r>
          </w:p>
        </w:tc>
      </w:tr>
    </w:tbl>
    <w:p w14:paraId="3595238F" w14:textId="1CBE763E" w:rsidR="00E03F11" w:rsidRDefault="006C565C" w:rsidP="00E03F11">
      <w:r>
        <w:t>The agreed probe configuration</w:t>
      </w:r>
      <w:r w:rsidR="00233E0A">
        <w:t xml:space="preserve"> in </w:t>
      </w:r>
      <w:r w:rsidR="00062E1E">
        <w:fldChar w:fldCharType="begin"/>
      </w:r>
      <w:r w:rsidR="00062E1E">
        <w:instrText xml:space="preserve"> REF _Ref67930208 \w \h </w:instrText>
      </w:r>
      <w:r w:rsidR="00062E1E">
        <w:fldChar w:fldCharType="separate"/>
      </w:r>
      <w:r w:rsidR="001F20E5">
        <w:t>[3]</w:t>
      </w:r>
      <w:r w:rsidR="00062E1E">
        <w:fldChar w:fldCharType="end"/>
      </w:r>
      <w:r w:rsidR="00233E0A">
        <w:t>, i.e., Table B.2.1-1</w:t>
      </w:r>
    </w:p>
    <w:tbl>
      <w:tblPr>
        <w:tblStyle w:val="TableGrid"/>
        <w:tblW w:w="0" w:type="auto"/>
        <w:tblLook w:val="04A0" w:firstRow="1" w:lastRow="0" w:firstColumn="1" w:lastColumn="0" w:noHBand="0" w:noVBand="1"/>
      </w:tblPr>
      <w:tblGrid>
        <w:gridCol w:w="9631"/>
      </w:tblGrid>
      <w:tr w:rsidR="00233E0A" w14:paraId="3B16A629" w14:textId="77777777" w:rsidTr="00233E0A">
        <w:tc>
          <w:tcPr>
            <w:tcW w:w="9631" w:type="dxa"/>
          </w:tcPr>
          <w:p w14:paraId="6EF157D2" w14:textId="77777777" w:rsidR="00233E0A" w:rsidRPr="009B6006" w:rsidRDefault="00233E0A" w:rsidP="00233E0A">
            <w:pPr>
              <w:pStyle w:val="TH"/>
            </w:pPr>
            <w:r w:rsidRPr="002A41D7">
              <w:t xml:space="preserve">Table </w:t>
            </w:r>
            <w:r w:rsidRPr="005B357C">
              <w:t>B.2.1-1</w:t>
            </w:r>
            <w:r w:rsidRPr="009B6006">
              <w:t xml:space="preserve">. </w:t>
            </w:r>
            <w:r>
              <w:t>FR2 3D MPAC Probe Locations in OTA test system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233E0A" w:rsidRPr="00AE57D3" w14:paraId="0C995DB0" w14:textId="77777777" w:rsidTr="000A73F4">
              <w:trPr>
                <w:trHeight w:val="283"/>
                <w:jc w:val="center"/>
              </w:trPr>
              <w:tc>
                <w:tcPr>
                  <w:tcW w:w="1555" w:type="dxa"/>
                  <w:shd w:val="clear" w:color="auto" w:fill="D9D9D9"/>
                  <w:vAlign w:val="center"/>
                </w:tcPr>
                <w:p w14:paraId="3BC306D4" w14:textId="77777777" w:rsidR="00233E0A" w:rsidRPr="009B6006" w:rsidRDefault="00233E0A" w:rsidP="00233E0A">
                  <w:pPr>
                    <w:pStyle w:val="TAH"/>
                  </w:pPr>
                  <w:r>
                    <w:t xml:space="preserve">Probe </w:t>
                  </w:r>
                  <w:r w:rsidRPr="009B6006">
                    <w:t>Number</w:t>
                  </w:r>
                </w:p>
              </w:tc>
              <w:tc>
                <w:tcPr>
                  <w:tcW w:w="1275" w:type="dxa"/>
                  <w:shd w:val="clear" w:color="auto" w:fill="D9D9D9"/>
                  <w:vAlign w:val="center"/>
                </w:tcPr>
                <w:p w14:paraId="045EF3E4" w14:textId="49BF24B4" w:rsidR="00233E0A" w:rsidRDefault="00233E0A" w:rsidP="00233E0A">
                  <w:pPr>
                    <w:pStyle w:val="TAH"/>
                  </w:pPr>
                  <w:r w:rsidRPr="002A41D7">
                    <w:t>Theta</w:t>
                  </w:r>
                </w:p>
                <w:p w14:paraId="43E9D074" w14:textId="542757C5" w:rsidR="00233E0A" w:rsidRPr="0072537F" w:rsidRDefault="00233E0A" w:rsidP="00233E0A">
                  <w:pPr>
                    <w:pStyle w:val="TAH"/>
                  </w:pPr>
                  <w:r w:rsidRPr="002A41D7">
                    <w:t>[</w:t>
                  </w:r>
                  <w:proofErr w:type="spellStart"/>
                  <w:r w:rsidRPr="002A41D7">
                    <w:t>deg</w:t>
                  </w:r>
                  <w:proofErr w:type="spellEnd"/>
                  <w:r w:rsidRPr="002A41D7">
                    <w:t>]</w:t>
                  </w:r>
                </w:p>
              </w:tc>
              <w:tc>
                <w:tcPr>
                  <w:tcW w:w="1560" w:type="dxa"/>
                  <w:shd w:val="clear" w:color="auto" w:fill="D9D9D9"/>
                  <w:vAlign w:val="center"/>
                </w:tcPr>
                <w:p w14:paraId="7BEEB905" w14:textId="44EFF40B" w:rsidR="00233E0A" w:rsidRDefault="00233E0A" w:rsidP="00233E0A">
                  <w:pPr>
                    <w:pStyle w:val="TAH"/>
                  </w:pPr>
                  <w:r w:rsidRPr="00731D89">
                    <w:t>Phi</w:t>
                  </w:r>
                </w:p>
                <w:p w14:paraId="103CEE94" w14:textId="77777777" w:rsidR="00233E0A" w:rsidRPr="00731D89" w:rsidRDefault="00233E0A" w:rsidP="00233E0A">
                  <w:pPr>
                    <w:pStyle w:val="TAH"/>
                  </w:pPr>
                  <w:r w:rsidRPr="00731D89">
                    <w:t>[</w:t>
                  </w:r>
                  <w:proofErr w:type="spellStart"/>
                  <w:r w:rsidRPr="00731D89">
                    <w:t>deg</w:t>
                  </w:r>
                  <w:proofErr w:type="spellEnd"/>
                  <w:r w:rsidRPr="00731D89">
                    <w:t>]</w:t>
                  </w:r>
                </w:p>
              </w:tc>
            </w:tr>
            <w:tr w:rsidR="00233E0A" w:rsidRPr="00AE57D3" w14:paraId="2C69B3EC" w14:textId="77777777" w:rsidTr="000A73F4">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2ABEC12" w14:textId="77777777" w:rsidR="00233E0A" w:rsidRPr="00AE57D3" w:rsidRDefault="00233E0A" w:rsidP="00233E0A">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488C6526" w14:textId="77777777" w:rsidR="00233E0A" w:rsidRPr="00AE57D3" w:rsidRDefault="00233E0A" w:rsidP="00233E0A">
                  <w:pPr>
                    <w:pStyle w:val="TAC"/>
                  </w:pPr>
                  <w:r w:rsidRPr="0062703F">
                    <w:rPr>
                      <w:lang w:val="en-US"/>
                    </w:rPr>
                    <w:t>0.0</w:t>
                  </w:r>
                </w:p>
              </w:tc>
              <w:tc>
                <w:tcPr>
                  <w:tcW w:w="1560" w:type="dxa"/>
                  <w:tcBorders>
                    <w:top w:val="single" w:sz="4" w:space="0" w:color="auto"/>
                    <w:left w:val="single" w:sz="4" w:space="0" w:color="auto"/>
                    <w:bottom w:val="single" w:sz="4" w:space="0" w:color="auto"/>
                    <w:right w:val="single" w:sz="4" w:space="0" w:color="auto"/>
                  </w:tcBorders>
                  <w:vAlign w:val="bottom"/>
                </w:tcPr>
                <w:p w14:paraId="4D115153" w14:textId="77777777" w:rsidR="00233E0A" w:rsidRPr="00AE57D3" w:rsidRDefault="00233E0A" w:rsidP="00233E0A">
                  <w:pPr>
                    <w:pStyle w:val="TAC"/>
                  </w:pPr>
                  <w:r w:rsidRPr="0062703F">
                    <w:rPr>
                      <w:lang w:val="en-US"/>
                    </w:rPr>
                    <w:t>0.0</w:t>
                  </w:r>
                </w:p>
              </w:tc>
            </w:tr>
            <w:tr w:rsidR="00233E0A" w:rsidRPr="00AE57D3" w14:paraId="0A4067F1" w14:textId="77777777" w:rsidTr="000A73F4">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E28253F" w14:textId="77777777" w:rsidR="00233E0A" w:rsidRPr="00AE57D3" w:rsidRDefault="00233E0A" w:rsidP="00233E0A">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1529CACA" w14:textId="77777777" w:rsidR="00233E0A" w:rsidRPr="00AE57D3" w:rsidRDefault="00233E0A" w:rsidP="00233E0A">
                  <w:pPr>
                    <w:pStyle w:val="TAC"/>
                  </w:pPr>
                  <w:r w:rsidRPr="0062703F">
                    <w:rPr>
                      <w:lang w:val="en-US"/>
                    </w:rPr>
                    <w:t>11.2</w:t>
                  </w:r>
                </w:p>
              </w:tc>
              <w:tc>
                <w:tcPr>
                  <w:tcW w:w="1560" w:type="dxa"/>
                  <w:tcBorders>
                    <w:top w:val="single" w:sz="4" w:space="0" w:color="auto"/>
                    <w:left w:val="single" w:sz="4" w:space="0" w:color="auto"/>
                    <w:bottom w:val="single" w:sz="4" w:space="0" w:color="auto"/>
                    <w:right w:val="single" w:sz="4" w:space="0" w:color="auto"/>
                  </w:tcBorders>
                  <w:vAlign w:val="bottom"/>
                </w:tcPr>
                <w:p w14:paraId="7F55663E" w14:textId="77777777" w:rsidR="00233E0A" w:rsidRPr="00AE57D3" w:rsidRDefault="00233E0A" w:rsidP="00233E0A">
                  <w:pPr>
                    <w:pStyle w:val="TAC"/>
                  </w:pPr>
                  <w:r w:rsidRPr="0062703F">
                    <w:rPr>
                      <w:lang w:val="en-US"/>
                    </w:rPr>
                    <w:t>116.7</w:t>
                  </w:r>
                </w:p>
              </w:tc>
            </w:tr>
            <w:tr w:rsidR="00233E0A" w:rsidRPr="00AE57D3" w14:paraId="0EF2FCDD" w14:textId="77777777" w:rsidTr="000A73F4">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3E02F23" w14:textId="77777777" w:rsidR="00233E0A" w:rsidRPr="00AE57D3" w:rsidRDefault="00233E0A" w:rsidP="00233E0A">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2A7D4076" w14:textId="77777777" w:rsidR="00233E0A" w:rsidRPr="00AE57D3" w:rsidRDefault="00233E0A" w:rsidP="00233E0A">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221EB42E" w14:textId="77777777" w:rsidR="00233E0A" w:rsidRPr="00AE57D3" w:rsidRDefault="00233E0A" w:rsidP="00233E0A">
                  <w:pPr>
                    <w:pStyle w:val="TAC"/>
                  </w:pPr>
                  <w:r w:rsidRPr="0062703F">
                    <w:rPr>
                      <w:lang w:val="en-US"/>
                    </w:rPr>
                    <w:t>-104.3</w:t>
                  </w:r>
                </w:p>
              </w:tc>
            </w:tr>
            <w:tr w:rsidR="00233E0A" w:rsidRPr="00AE57D3" w14:paraId="71D31447" w14:textId="77777777" w:rsidTr="000A73F4">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ADB6DF3" w14:textId="77777777" w:rsidR="00233E0A" w:rsidRPr="00AE57D3" w:rsidRDefault="00233E0A" w:rsidP="00233E0A">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6F15B793" w14:textId="77777777" w:rsidR="00233E0A" w:rsidRPr="00AE57D3" w:rsidRDefault="00233E0A" w:rsidP="00233E0A">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2F307A5D" w14:textId="77777777" w:rsidR="00233E0A" w:rsidRPr="00AE57D3" w:rsidRDefault="00233E0A" w:rsidP="00233E0A">
                  <w:pPr>
                    <w:pStyle w:val="TAC"/>
                  </w:pPr>
                  <w:r w:rsidRPr="0062703F">
                    <w:rPr>
                      <w:lang w:val="en-US"/>
                    </w:rPr>
                    <w:t>104.3</w:t>
                  </w:r>
                </w:p>
              </w:tc>
            </w:tr>
            <w:tr w:rsidR="00233E0A" w:rsidRPr="00AE57D3" w14:paraId="3838CA29" w14:textId="77777777" w:rsidTr="000A73F4">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9BDE778" w14:textId="77777777" w:rsidR="00233E0A" w:rsidRPr="00AE57D3" w:rsidRDefault="00233E0A" w:rsidP="00233E0A">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1565D437" w14:textId="77777777" w:rsidR="00233E0A" w:rsidRPr="00AE57D3" w:rsidRDefault="00233E0A" w:rsidP="00233E0A">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7E8B11DA" w14:textId="77777777" w:rsidR="00233E0A" w:rsidRPr="00AE57D3" w:rsidRDefault="00233E0A" w:rsidP="00233E0A">
                  <w:pPr>
                    <w:pStyle w:val="TAC"/>
                  </w:pPr>
                  <w:r w:rsidRPr="0062703F">
                    <w:rPr>
                      <w:lang w:val="en-US"/>
                    </w:rPr>
                    <w:t>75.7</w:t>
                  </w:r>
                </w:p>
              </w:tc>
            </w:tr>
            <w:tr w:rsidR="00233E0A" w:rsidRPr="00AE57D3" w14:paraId="4D7A7C10" w14:textId="77777777" w:rsidTr="000A73F4">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5B06B5F" w14:textId="77777777" w:rsidR="00233E0A" w:rsidRPr="00AE57D3" w:rsidRDefault="00233E0A" w:rsidP="00233E0A">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0C140B9C" w14:textId="77777777" w:rsidR="00233E0A" w:rsidRDefault="00233E0A" w:rsidP="00233E0A">
                  <w:pPr>
                    <w:pStyle w:val="TAC"/>
                    <w:rPr>
                      <w:color w:val="000000"/>
                    </w:rPr>
                  </w:pPr>
                  <w:r w:rsidRPr="0062703F">
                    <w:rPr>
                      <w:lang w:val="en-US"/>
                    </w:rPr>
                    <w:t>30.0</w:t>
                  </w:r>
                </w:p>
              </w:tc>
              <w:tc>
                <w:tcPr>
                  <w:tcW w:w="1560" w:type="dxa"/>
                  <w:tcBorders>
                    <w:top w:val="single" w:sz="4" w:space="0" w:color="auto"/>
                    <w:left w:val="single" w:sz="4" w:space="0" w:color="auto"/>
                    <w:bottom w:val="single" w:sz="4" w:space="0" w:color="auto"/>
                    <w:right w:val="single" w:sz="4" w:space="0" w:color="auto"/>
                  </w:tcBorders>
                  <w:vAlign w:val="bottom"/>
                </w:tcPr>
                <w:p w14:paraId="780E08F4" w14:textId="77777777" w:rsidR="00233E0A" w:rsidRDefault="00233E0A" w:rsidP="00233E0A">
                  <w:pPr>
                    <w:pStyle w:val="TAC"/>
                    <w:rPr>
                      <w:color w:val="000000"/>
                    </w:rPr>
                  </w:pPr>
                  <w:r w:rsidRPr="0062703F">
                    <w:rPr>
                      <w:lang w:val="en-US"/>
                    </w:rPr>
                    <w:t>90.0</w:t>
                  </w:r>
                </w:p>
              </w:tc>
            </w:tr>
          </w:tbl>
          <w:p w14:paraId="72C64374" w14:textId="77777777" w:rsidR="00233E0A" w:rsidRDefault="00233E0A" w:rsidP="00E03F11"/>
        </w:tc>
      </w:tr>
    </w:tbl>
    <w:p w14:paraId="1461E061" w14:textId="3A66228A" w:rsidR="00233E0A" w:rsidRDefault="00C01D24" w:rsidP="00E03F11">
      <w:r>
        <w:t xml:space="preserve">is further illustrated in </w:t>
      </w:r>
      <w:r w:rsidR="002D48FE">
        <w:fldChar w:fldCharType="begin"/>
      </w:r>
      <w:r w:rsidR="002D48FE">
        <w:instrText xml:space="preserve"> REF _Ref67905241 \h </w:instrText>
      </w:r>
      <w:r w:rsidR="002D48FE">
        <w:fldChar w:fldCharType="separate"/>
      </w:r>
      <w:r w:rsidR="001F20E5">
        <w:t xml:space="preserve">Figure </w:t>
      </w:r>
      <w:r w:rsidR="001F20E5">
        <w:rPr>
          <w:noProof/>
        </w:rPr>
        <w:t>1</w:t>
      </w:r>
      <w:r w:rsidR="002D48FE">
        <w:fldChar w:fldCharType="end"/>
      </w:r>
      <w:r w:rsidR="002D48FE">
        <w:t>.</w:t>
      </w:r>
    </w:p>
    <w:p w14:paraId="0804D978" w14:textId="5D13D6EE" w:rsidR="00C01D24" w:rsidRDefault="00C01D24" w:rsidP="003D44C9">
      <w:pPr>
        <w:spacing w:after="0"/>
        <w:jc w:val="center"/>
      </w:pPr>
      <w:r>
        <w:rPr>
          <w:noProof/>
        </w:rPr>
        <w:lastRenderedPageBreak/>
        <w:drawing>
          <wp:inline distT="0" distB="0" distL="0" distR="0" wp14:anchorId="7222ACAE" wp14:editId="66BB02E5">
            <wp:extent cx="4114800" cy="2740306"/>
            <wp:effectExtent l="0" t="0" r="0"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2">
                      <a:extLst>
                        <a:ext uri="{28A0092B-C50C-407E-A947-70E740481C1C}">
                          <a14:useLocalDpi xmlns:a14="http://schemas.microsoft.com/office/drawing/2010/main" val="0"/>
                        </a:ext>
                      </a:extLst>
                    </a:blip>
                    <a:stretch>
                      <a:fillRect/>
                    </a:stretch>
                  </pic:blipFill>
                  <pic:spPr>
                    <a:xfrm>
                      <a:off x="0" y="0"/>
                      <a:ext cx="4114800" cy="2740306"/>
                    </a:xfrm>
                    <a:prstGeom prst="rect">
                      <a:avLst/>
                    </a:prstGeom>
                  </pic:spPr>
                </pic:pic>
              </a:graphicData>
            </a:graphic>
          </wp:inline>
        </w:drawing>
      </w:r>
    </w:p>
    <w:p w14:paraId="490D392B" w14:textId="3FA3BF82" w:rsidR="00C01D24" w:rsidRDefault="00C01D24" w:rsidP="002D48FE">
      <w:pPr>
        <w:pStyle w:val="Caption"/>
        <w:spacing w:before="0"/>
        <w:jc w:val="center"/>
      </w:pPr>
      <w:bookmarkStart w:id="5" w:name="_Ref67905241"/>
      <w:r>
        <w:t xml:space="preserve">Figure </w:t>
      </w:r>
      <w:r>
        <w:fldChar w:fldCharType="begin"/>
      </w:r>
      <w:r>
        <w:instrText xml:space="preserve"> SEQ Figure \* ARABIC </w:instrText>
      </w:r>
      <w:r>
        <w:fldChar w:fldCharType="separate"/>
      </w:r>
      <w:r w:rsidR="001F20E5">
        <w:rPr>
          <w:noProof/>
        </w:rPr>
        <w:t>1</w:t>
      </w:r>
      <w:r>
        <w:fldChar w:fldCharType="end"/>
      </w:r>
      <w:bookmarkEnd w:id="5"/>
      <w:r>
        <w:t xml:space="preserve">: </w:t>
      </w:r>
      <w:r w:rsidR="002D48FE">
        <w:t>Visualization of Probes and Probe Locations</w:t>
      </w:r>
      <w:r w:rsidR="00346308">
        <w:t xml:space="preserve"> with initial test configuration of (</w:t>
      </w:r>
      <w:r w:rsidR="00346308" w:rsidRPr="00346308">
        <w:rPr>
          <w:rFonts w:ascii="Symbol" w:hAnsi="Symbol"/>
        </w:rPr>
        <w:t>q</w:t>
      </w:r>
      <w:r w:rsidR="00346308">
        <w:t>,</w:t>
      </w:r>
      <w:r w:rsidR="00C11A79">
        <w:t xml:space="preserve"> </w:t>
      </w:r>
      <w:r w:rsidR="00346308" w:rsidRPr="00346308">
        <w:rPr>
          <w:rFonts w:ascii="Symbol" w:hAnsi="Symbol"/>
        </w:rPr>
        <w:t>f</w:t>
      </w:r>
      <w:r w:rsidR="00346308">
        <w:t>) of (0</w:t>
      </w:r>
      <w:r w:rsidR="00346308" w:rsidRPr="00346308">
        <w:rPr>
          <w:vertAlign w:val="superscript"/>
        </w:rPr>
        <w:t>o</w:t>
      </w:r>
      <w:r w:rsidR="00346308">
        <w:t>,</w:t>
      </w:r>
      <w:r w:rsidR="00C11A79">
        <w:t xml:space="preserve"> </w:t>
      </w:r>
      <w:r w:rsidR="00346308">
        <w:t>0</w:t>
      </w:r>
      <w:r w:rsidR="00346308" w:rsidRPr="00346308">
        <w:rPr>
          <w:vertAlign w:val="superscript"/>
        </w:rPr>
        <w:t>o</w:t>
      </w:r>
      <w:r w:rsidR="00346308">
        <w:t>)</w:t>
      </w:r>
      <w:r w:rsidR="00402F87">
        <w:t xml:space="preserve"> in an example FR2 test system configuration</w:t>
      </w:r>
    </w:p>
    <w:p w14:paraId="3038C4F8" w14:textId="43555C95" w:rsidR="002D48FE" w:rsidRDefault="002D48FE" w:rsidP="002D48FE">
      <w:r>
        <w:t xml:space="preserve">Clearly, </w:t>
      </w:r>
      <w:r w:rsidR="00EC71D4">
        <w:t>P</w:t>
      </w:r>
      <w:r>
        <w:t>robe</w:t>
      </w:r>
      <w:r w:rsidR="00EC71D4">
        <w:t xml:space="preserve"> </w:t>
      </w:r>
      <w:r>
        <w:t xml:space="preserve">#3 is located in the lower hemisphere with </w:t>
      </w:r>
      <w:r w:rsidRPr="002D48FE">
        <w:rPr>
          <w:i/>
          <w:iCs/>
        </w:rPr>
        <w:t>y</w:t>
      </w:r>
      <w:r w:rsidR="00C11A79">
        <w:rPr>
          <w:i/>
          <w:iCs/>
        </w:rPr>
        <w:t xml:space="preserve"> </w:t>
      </w:r>
      <w:r>
        <w:t>&lt;</w:t>
      </w:r>
      <w:r w:rsidR="00C11A79">
        <w:t xml:space="preserve"> </w:t>
      </w:r>
      <w:r>
        <w:t>0</w:t>
      </w:r>
      <w:r w:rsidR="00346308">
        <w:t xml:space="preserve"> and a concern was raised </w:t>
      </w:r>
      <w:r w:rsidR="00F85459">
        <w:t xml:space="preserve">about the blocking from this probe </w:t>
      </w:r>
      <w:r w:rsidR="00F85459">
        <w:fldChar w:fldCharType="begin"/>
      </w:r>
      <w:r w:rsidR="00F85459">
        <w:instrText xml:space="preserve"> REF _Ref67906698 \w \h </w:instrText>
      </w:r>
      <w:r w:rsidR="00F85459">
        <w:fldChar w:fldCharType="separate"/>
      </w:r>
      <w:r w:rsidR="001F20E5">
        <w:t>[4]</w:t>
      </w:r>
      <w:r w:rsidR="00F85459">
        <w:fldChar w:fldCharType="end"/>
      </w:r>
      <w:r w:rsidR="00F85459">
        <w:t xml:space="preserve">. </w:t>
      </w:r>
      <w:r w:rsidR="003E33C4">
        <w:t xml:space="preserve">In the extreme case of </w:t>
      </w:r>
      <w:r w:rsidR="003E33C4" w:rsidRPr="00346308">
        <w:rPr>
          <w:rFonts w:ascii="Symbol" w:hAnsi="Symbol"/>
        </w:rPr>
        <w:t>q</w:t>
      </w:r>
      <w:r w:rsidR="003E33C4">
        <w:t xml:space="preserve"> = 180</w:t>
      </w:r>
      <w:r w:rsidR="003E33C4" w:rsidRPr="003E33C4">
        <w:rPr>
          <w:vertAlign w:val="superscript"/>
        </w:rPr>
        <w:t>o</w:t>
      </w:r>
      <w:r w:rsidR="003E33C4">
        <w:t xml:space="preserve">, </w:t>
      </w:r>
      <w:r w:rsidR="00402F87">
        <w:t xml:space="preserve">the vertical positioner mast indeed introduces significant blocking between </w:t>
      </w:r>
      <w:r w:rsidR="00EC71D4">
        <w:t>P</w:t>
      </w:r>
      <w:r w:rsidR="00402F87">
        <w:t>robe</w:t>
      </w:r>
      <w:r w:rsidR="00EC71D4">
        <w:t xml:space="preserve"> </w:t>
      </w:r>
      <w:r w:rsidR="00402F87">
        <w:t xml:space="preserve">#3 and the DUT, as illustrated </w:t>
      </w:r>
      <w:r w:rsidR="00C11A79">
        <w:t xml:space="preserve">in </w:t>
      </w:r>
      <w:r w:rsidR="00C11A79">
        <w:fldChar w:fldCharType="begin"/>
      </w:r>
      <w:r w:rsidR="00C11A79">
        <w:instrText xml:space="preserve"> REF _Ref67908015 \h </w:instrText>
      </w:r>
      <w:r w:rsidR="00C11A79">
        <w:fldChar w:fldCharType="separate"/>
      </w:r>
      <w:r w:rsidR="001F20E5">
        <w:t xml:space="preserve">Figure </w:t>
      </w:r>
      <w:r w:rsidR="001F20E5">
        <w:rPr>
          <w:noProof/>
        </w:rPr>
        <w:t>2</w:t>
      </w:r>
      <w:r w:rsidR="00C11A79">
        <w:fldChar w:fldCharType="end"/>
      </w:r>
      <w:r w:rsidR="00C11A79">
        <w:t xml:space="preserve">. However, </w:t>
      </w:r>
      <w:r w:rsidR="00EC71D4">
        <w:t>P</w:t>
      </w:r>
      <w:r w:rsidR="00C11A79">
        <w:t>robe</w:t>
      </w:r>
      <w:r w:rsidR="00EC71D4">
        <w:t xml:space="preserve"> </w:t>
      </w:r>
      <w:r w:rsidR="00C11A79">
        <w:t xml:space="preserve">#1, the probe along the </w:t>
      </w:r>
      <w:r w:rsidR="00C11A79" w:rsidRPr="00C11A79">
        <w:rPr>
          <w:i/>
          <w:iCs/>
        </w:rPr>
        <w:t>z</w:t>
      </w:r>
      <w:r w:rsidR="00C11A79">
        <w:t xml:space="preserve"> axis experiences the same amount of blocking if not more since </w:t>
      </w:r>
      <w:r w:rsidR="00EC71D4">
        <w:t>Pr</w:t>
      </w:r>
      <w:r w:rsidR="00C11A79">
        <w:t>obe</w:t>
      </w:r>
      <w:r w:rsidR="00EC71D4">
        <w:t xml:space="preserve"> </w:t>
      </w:r>
      <w:r w:rsidR="00C11A79">
        <w:t>#3 is slightly more offset</w:t>
      </w:r>
      <w:r w:rsidR="007B4010">
        <w:t xml:space="preserve"> from the </w:t>
      </w:r>
      <w:r w:rsidR="007B4010" w:rsidRPr="007B4010">
        <w:rPr>
          <w:i/>
          <w:iCs/>
        </w:rPr>
        <w:t>z</w:t>
      </w:r>
      <w:r w:rsidR="007B4010">
        <w:t xml:space="preserve"> axis</w:t>
      </w:r>
      <w:r w:rsidR="00C11A79">
        <w:t xml:space="preserve">. </w:t>
      </w:r>
    </w:p>
    <w:p w14:paraId="74A0CA61" w14:textId="03D4C12E" w:rsidR="00C11A79" w:rsidRDefault="00C11A79" w:rsidP="00C11A79">
      <w:pPr>
        <w:spacing w:after="0"/>
        <w:jc w:val="center"/>
      </w:pPr>
      <w:r>
        <w:rPr>
          <w:noProof/>
        </w:rPr>
        <w:drawing>
          <wp:inline distT="0" distB="0" distL="0" distR="0" wp14:anchorId="6560714D" wp14:editId="63722D55">
            <wp:extent cx="4572000" cy="2421468"/>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13">
                      <a:extLst>
                        <a:ext uri="{28A0092B-C50C-407E-A947-70E740481C1C}">
                          <a14:useLocalDpi xmlns:a14="http://schemas.microsoft.com/office/drawing/2010/main" val="0"/>
                        </a:ext>
                      </a:extLst>
                    </a:blip>
                    <a:stretch>
                      <a:fillRect/>
                    </a:stretch>
                  </pic:blipFill>
                  <pic:spPr>
                    <a:xfrm>
                      <a:off x="0" y="0"/>
                      <a:ext cx="4572000" cy="2421468"/>
                    </a:xfrm>
                    <a:prstGeom prst="rect">
                      <a:avLst/>
                    </a:prstGeom>
                  </pic:spPr>
                </pic:pic>
              </a:graphicData>
            </a:graphic>
          </wp:inline>
        </w:drawing>
      </w:r>
    </w:p>
    <w:p w14:paraId="2FE4E46F" w14:textId="0B80AB66" w:rsidR="00C11A79" w:rsidRDefault="00C11A79" w:rsidP="007B4010">
      <w:pPr>
        <w:pStyle w:val="Caption"/>
        <w:spacing w:before="0"/>
        <w:jc w:val="center"/>
      </w:pPr>
      <w:bookmarkStart w:id="6" w:name="_Ref67908015"/>
      <w:r>
        <w:t xml:space="preserve">Figure </w:t>
      </w:r>
      <w:r>
        <w:fldChar w:fldCharType="begin"/>
      </w:r>
      <w:r>
        <w:instrText xml:space="preserve"> SEQ Figure \* ARABIC </w:instrText>
      </w:r>
      <w:r>
        <w:fldChar w:fldCharType="separate"/>
      </w:r>
      <w:r w:rsidR="001F20E5">
        <w:rPr>
          <w:noProof/>
        </w:rPr>
        <w:t>2</w:t>
      </w:r>
      <w:r>
        <w:fldChar w:fldCharType="end"/>
      </w:r>
      <w:bookmarkEnd w:id="6"/>
      <w:r>
        <w:t>: Visualization of Probes and Probe Locations with extreme configuration of (</w:t>
      </w:r>
      <w:r w:rsidRPr="00346308">
        <w:rPr>
          <w:rFonts w:ascii="Symbol" w:hAnsi="Symbol"/>
        </w:rPr>
        <w:t>q</w:t>
      </w:r>
      <w:r>
        <w:t xml:space="preserve">, </w:t>
      </w:r>
      <w:r w:rsidRPr="00346308">
        <w:rPr>
          <w:rFonts w:ascii="Symbol" w:hAnsi="Symbol"/>
        </w:rPr>
        <w:t>f</w:t>
      </w:r>
      <w:r>
        <w:t>) of (180</w:t>
      </w:r>
      <w:r w:rsidRPr="00346308">
        <w:rPr>
          <w:vertAlign w:val="superscript"/>
        </w:rPr>
        <w:t>o</w:t>
      </w:r>
      <w:r>
        <w:t>, 0</w:t>
      </w:r>
      <w:r w:rsidRPr="00346308">
        <w:rPr>
          <w:vertAlign w:val="superscript"/>
        </w:rPr>
        <w:t>o</w:t>
      </w:r>
      <w:r>
        <w:t>) in an example FR2 test system configuration</w:t>
      </w:r>
    </w:p>
    <w:p w14:paraId="1403A993" w14:textId="6886B445" w:rsidR="00C11A79" w:rsidRPr="00307BC9" w:rsidRDefault="007B4010" w:rsidP="007B4010">
      <w:r>
        <w:t xml:space="preserve">However, the extreme case above with </w:t>
      </w:r>
      <w:r w:rsidRPr="00346308">
        <w:rPr>
          <w:rFonts w:ascii="Symbol" w:hAnsi="Symbol"/>
        </w:rPr>
        <w:t>q</w:t>
      </w:r>
      <w:r>
        <w:t xml:space="preserve"> = 180</w:t>
      </w:r>
      <w:r w:rsidRPr="003E33C4">
        <w:rPr>
          <w:vertAlign w:val="superscript"/>
        </w:rPr>
        <w:t>o</w:t>
      </w:r>
      <w:r>
        <w:t xml:space="preserve"> is not applicable for NR FR2 MIMO OTA testing since the largest </w:t>
      </w:r>
      <w:r w:rsidRPr="00307BC9">
        <w:rPr>
          <w:rFonts w:ascii="Symbol" w:hAnsi="Symbol"/>
        </w:rPr>
        <w:t>q</w:t>
      </w:r>
      <w:r>
        <w:t xml:space="preserve"> in the test procedure is </w:t>
      </w:r>
      <w:r w:rsidR="00307BC9">
        <w:t>~162</w:t>
      </w:r>
      <w:r w:rsidR="00307BC9" w:rsidRPr="00307BC9">
        <w:rPr>
          <w:vertAlign w:val="superscript"/>
        </w:rPr>
        <w:t>o</w:t>
      </w:r>
      <w:r w:rsidR="00307BC9">
        <w:t xml:space="preserve"> per Table B.2.3-1 of </w:t>
      </w:r>
      <w:r w:rsidR="00062E1E">
        <w:fldChar w:fldCharType="begin"/>
      </w:r>
      <w:r w:rsidR="00062E1E">
        <w:instrText xml:space="preserve"> REF _Ref67930208 \w \h </w:instrText>
      </w:r>
      <w:r w:rsidR="00062E1E">
        <w:fldChar w:fldCharType="separate"/>
      </w:r>
      <w:r w:rsidR="001F20E5">
        <w:t>[3]</w:t>
      </w:r>
      <w:r w:rsidR="00062E1E">
        <w:fldChar w:fldCharType="end"/>
      </w:r>
      <w:r w:rsidR="006E5FD8">
        <w:t xml:space="preserve">. </w:t>
      </w:r>
    </w:p>
    <w:tbl>
      <w:tblPr>
        <w:tblStyle w:val="TableGrid"/>
        <w:tblW w:w="0" w:type="auto"/>
        <w:tblLook w:val="04A0" w:firstRow="1" w:lastRow="0" w:firstColumn="1" w:lastColumn="0" w:noHBand="0" w:noVBand="1"/>
      </w:tblPr>
      <w:tblGrid>
        <w:gridCol w:w="9631"/>
      </w:tblGrid>
      <w:tr w:rsidR="007B4010" w14:paraId="620A7DC6" w14:textId="77777777" w:rsidTr="007B4010">
        <w:tc>
          <w:tcPr>
            <w:tcW w:w="9631" w:type="dxa"/>
          </w:tcPr>
          <w:p w14:paraId="478802A0" w14:textId="77777777" w:rsidR="007B4010" w:rsidRPr="009B6006" w:rsidRDefault="007B4010" w:rsidP="007B4010">
            <w:pPr>
              <w:pStyle w:val="TH"/>
            </w:pPr>
            <w:r w:rsidRPr="002A41D7">
              <w:t xml:space="preserve">Table </w:t>
            </w:r>
            <w:r>
              <w:t>B</w:t>
            </w:r>
            <w:r w:rsidRPr="002A41D7">
              <w:t>.</w:t>
            </w:r>
            <w:r w:rsidRPr="0072537F">
              <w:t>2.</w:t>
            </w:r>
            <w:r w:rsidRPr="009B6006">
              <w:t>3-1. Evenly spaced FR2 test points with a constant density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7B4010" w:rsidRPr="00AE57D3" w14:paraId="46FE7163" w14:textId="77777777" w:rsidTr="000A73F4">
              <w:trPr>
                <w:trHeight w:val="283"/>
                <w:jc w:val="center"/>
              </w:trPr>
              <w:tc>
                <w:tcPr>
                  <w:tcW w:w="1555" w:type="dxa"/>
                  <w:shd w:val="clear" w:color="auto" w:fill="D9D9D9"/>
                  <w:vAlign w:val="center"/>
                </w:tcPr>
                <w:p w14:paraId="47D98AF7" w14:textId="77777777" w:rsidR="007B4010" w:rsidRPr="009B6006" w:rsidRDefault="007B4010" w:rsidP="007B4010">
                  <w:pPr>
                    <w:pStyle w:val="TAH"/>
                  </w:pPr>
                  <w:r w:rsidRPr="009B6006">
                    <w:t>Test Point Number</w:t>
                  </w:r>
                </w:p>
              </w:tc>
              <w:tc>
                <w:tcPr>
                  <w:tcW w:w="1275" w:type="dxa"/>
                  <w:shd w:val="clear" w:color="auto" w:fill="D9D9D9"/>
                  <w:vAlign w:val="center"/>
                </w:tcPr>
                <w:p w14:paraId="7FB51392" w14:textId="77777777" w:rsidR="007B4010" w:rsidRPr="0072537F" w:rsidRDefault="007B4010" w:rsidP="007B4010">
                  <w:pPr>
                    <w:pStyle w:val="TAH"/>
                  </w:pPr>
                  <w:r w:rsidRPr="002A41D7">
                    <w:t>Theta [</w:t>
                  </w:r>
                  <w:proofErr w:type="spellStart"/>
                  <w:r w:rsidRPr="002A41D7">
                    <w:t>deg</w:t>
                  </w:r>
                  <w:proofErr w:type="spellEnd"/>
                  <w:r w:rsidRPr="002A41D7">
                    <w:t>]</w:t>
                  </w:r>
                </w:p>
              </w:tc>
              <w:tc>
                <w:tcPr>
                  <w:tcW w:w="1560" w:type="dxa"/>
                  <w:shd w:val="clear" w:color="auto" w:fill="D9D9D9"/>
                  <w:vAlign w:val="center"/>
                </w:tcPr>
                <w:p w14:paraId="60BCD32E" w14:textId="77777777" w:rsidR="007B4010" w:rsidRPr="00731D89" w:rsidRDefault="007B4010" w:rsidP="007B4010">
                  <w:pPr>
                    <w:pStyle w:val="TAH"/>
                  </w:pPr>
                  <w:r w:rsidRPr="00731D89">
                    <w:t>Phi [</w:t>
                  </w:r>
                  <w:proofErr w:type="spellStart"/>
                  <w:r w:rsidRPr="00731D89">
                    <w:t>deg</w:t>
                  </w:r>
                  <w:proofErr w:type="spellEnd"/>
                  <w:r w:rsidRPr="00731D89">
                    <w:t>]</w:t>
                  </w:r>
                </w:p>
              </w:tc>
            </w:tr>
            <w:tr w:rsidR="007B4010" w:rsidRPr="00AE57D3" w14:paraId="3845DE43" w14:textId="77777777" w:rsidTr="000A73F4">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A50CF76" w14:textId="77777777" w:rsidR="007B4010" w:rsidRPr="00AE57D3" w:rsidRDefault="007B4010" w:rsidP="007B4010">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tcPr>
                <w:p w14:paraId="7933BC4D" w14:textId="77777777" w:rsidR="007B4010" w:rsidRPr="00AE57D3" w:rsidRDefault="007B4010" w:rsidP="007B4010">
                  <w:pPr>
                    <w:pStyle w:val="TAC"/>
                  </w:pPr>
                  <w:r w:rsidRPr="00AE57D3">
                    <w:t>0.0</w:t>
                  </w:r>
                </w:p>
              </w:tc>
              <w:tc>
                <w:tcPr>
                  <w:tcW w:w="1560" w:type="dxa"/>
                  <w:tcBorders>
                    <w:top w:val="single" w:sz="4" w:space="0" w:color="auto"/>
                    <w:left w:val="single" w:sz="4" w:space="0" w:color="auto"/>
                    <w:bottom w:val="single" w:sz="4" w:space="0" w:color="auto"/>
                    <w:right w:val="single" w:sz="4" w:space="0" w:color="auto"/>
                  </w:tcBorders>
                </w:tcPr>
                <w:p w14:paraId="50CBDF64" w14:textId="77777777" w:rsidR="007B4010" w:rsidRPr="00AE57D3" w:rsidRDefault="007B4010" w:rsidP="007B4010">
                  <w:pPr>
                    <w:pStyle w:val="TAC"/>
                  </w:pPr>
                  <w:r w:rsidRPr="00AE57D3">
                    <w:t>0.0</w:t>
                  </w:r>
                </w:p>
              </w:tc>
            </w:tr>
            <w:tr w:rsidR="007B4010" w:rsidRPr="00AE57D3" w14:paraId="54894DC7" w14:textId="77777777" w:rsidTr="000A73F4">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60DB849" w14:textId="1C77446E" w:rsidR="007B4010" w:rsidRPr="00AE57D3" w:rsidRDefault="007B4010" w:rsidP="007B4010">
                  <w:pPr>
                    <w:pStyle w:val="TAC"/>
                  </w:pPr>
                  <w:r>
                    <w:t>…</w:t>
                  </w:r>
                </w:p>
              </w:tc>
              <w:tc>
                <w:tcPr>
                  <w:tcW w:w="1275" w:type="dxa"/>
                  <w:tcBorders>
                    <w:top w:val="single" w:sz="4" w:space="0" w:color="auto"/>
                    <w:left w:val="single" w:sz="4" w:space="0" w:color="auto"/>
                    <w:bottom w:val="single" w:sz="4" w:space="0" w:color="auto"/>
                    <w:right w:val="single" w:sz="4" w:space="0" w:color="auto"/>
                  </w:tcBorders>
                </w:tcPr>
                <w:p w14:paraId="6763BEAE" w14:textId="77777777" w:rsidR="007B4010" w:rsidRPr="00AE57D3" w:rsidRDefault="007B4010" w:rsidP="007B4010">
                  <w:pPr>
                    <w:pStyle w:val="TAC"/>
                  </w:pPr>
                </w:p>
              </w:tc>
              <w:tc>
                <w:tcPr>
                  <w:tcW w:w="1560" w:type="dxa"/>
                  <w:tcBorders>
                    <w:top w:val="single" w:sz="4" w:space="0" w:color="auto"/>
                    <w:left w:val="single" w:sz="4" w:space="0" w:color="auto"/>
                    <w:bottom w:val="single" w:sz="4" w:space="0" w:color="auto"/>
                    <w:right w:val="single" w:sz="4" w:space="0" w:color="auto"/>
                  </w:tcBorders>
                </w:tcPr>
                <w:p w14:paraId="78970435" w14:textId="77777777" w:rsidR="007B4010" w:rsidRPr="00AE57D3" w:rsidRDefault="007B4010" w:rsidP="007B4010">
                  <w:pPr>
                    <w:pStyle w:val="TAC"/>
                  </w:pPr>
                </w:p>
              </w:tc>
            </w:tr>
            <w:tr w:rsidR="007B4010" w:rsidRPr="00AE57D3" w14:paraId="717EA395" w14:textId="77777777" w:rsidTr="000A73F4">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5B9B78A" w14:textId="77777777" w:rsidR="007B4010" w:rsidRPr="00AE57D3" w:rsidRDefault="007B4010" w:rsidP="007B4010">
                  <w:pPr>
                    <w:pStyle w:val="TAC"/>
                  </w:pPr>
                  <w:r w:rsidRPr="00AE57D3">
                    <w:t>36</w:t>
                  </w:r>
                </w:p>
              </w:tc>
              <w:tc>
                <w:tcPr>
                  <w:tcW w:w="1275" w:type="dxa"/>
                  <w:tcBorders>
                    <w:top w:val="single" w:sz="4" w:space="0" w:color="auto"/>
                    <w:left w:val="single" w:sz="4" w:space="0" w:color="auto"/>
                    <w:bottom w:val="single" w:sz="4" w:space="0" w:color="auto"/>
                    <w:right w:val="single" w:sz="4" w:space="0" w:color="auto"/>
                  </w:tcBorders>
                </w:tcPr>
                <w:p w14:paraId="20C306F2" w14:textId="77777777" w:rsidR="007B4010" w:rsidRPr="00AE57D3" w:rsidRDefault="007B4010" w:rsidP="007B4010">
                  <w:pPr>
                    <w:pStyle w:val="TAC"/>
                  </w:pPr>
                  <w:r w:rsidRPr="007B4010">
                    <w:rPr>
                      <w:highlight w:val="yellow"/>
                    </w:rPr>
                    <w:t>161.7</w:t>
                  </w:r>
                </w:p>
              </w:tc>
              <w:tc>
                <w:tcPr>
                  <w:tcW w:w="1560" w:type="dxa"/>
                  <w:tcBorders>
                    <w:top w:val="single" w:sz="4" w:space="0" w:color="auto"/>
                    <w:left w:val="single" w:sz="4" w:space="0" w:color="auto"/>
                    <w:bottom w:val="single" w:sz="4" w:space="0" w:color="auto"/>
                    <w:right w:val="single" w:sz="4" w:space="0" w:color="auto"/>
                  </w:tcBorders>
                </w:tcPr>
                <w:p w14:paraId="74EE3546" w14:textId="77777777" w:rsidR="007B4010" w:rsidRPr="00AE57D3" w:rsidRDefault="007B4010" w:rsidP="007B4010">
                  <w:pPr>
                    <w:pStyle w:val="TAC"/>
                  </w:pPr>
                  <w:r w:rsidRPr="00AE57D3">
                    <w:t>59.1</w:t>
                  </w:r>
                </w:p>
              </w:tc>
            </w:tr>
          </w:tbl>
          <w:p w14:paraId="589833DD" w14:textId="77777777" w:rsidR="007B4010" w:rsidRDefault="007B4010" w:rsidP="007B4010"/>
        </w:tc>
      </w:tr>
    </w:tbl>
    <w:p w14:paraId="666FDC6E" w14:textId="5C35F2BE" w:rsidR="00062E1E" w:rsidRDefault="00062E1E" w:rsidP="00062E1E">
      <w:pPr>
        <w:spacing w:after="0"/>
        <w:rPr>
          <w:noProof/>
        </w:rPr>
      </w:pPr>
      <w:r>
        <w:t xml:space="preserve">Different views of this extreme NR FR2 MIMO OTA test configuration is illustrated in </w:t>
      </w:r>
      <w:r>
        <w:fldChar w:fldCharType="begin"/>
      </w:r>
      <w:r>
        <w:instrText xml:space="preserve"> REF _Ref67909862 \h  \* MERGEFORMAT </w:instrText>
      </w:r>
      <w:r>
        <w:fldChar w:fldCharType="separate"/>
      </w:r>
      <w:r w:rsidR="001F20E5">
        <w:t xml:space="preserve">Figure </w:t>
      </w:r>
      <w:r w:rsidR="001F20E5">
        <w:rPr>
          <w:noProof/>
        </w:rPr>
        <w:t>3</w:t>
      </w:r>
      <w:r>
        <w:fldChar w:fldCharType="end"/>
      </w:r>
      <w:r>
        <w:t xml:space="preserve">. Clearly, the various views of </w:t>
      </w:r>
      <w:r>
        <w:fldChar w:fldCharType="begin"/>
      </w:r>
      <w:r>
        <w:instrText xml:space="preserve"> REF _Ref67909862 \h  \* MERGEFORMAT </w:instrText>
      </w:r>
      <w:r>
        <w:fldChar w:fldCharType="separate"/>
      </w:r>
      <w:r w:rsidR="001F20E5">
        <w:t xml:space="preserve">Figure </w:t>
      </w:r>
      <w:r w:rsidR="001F20E5">
        <w:rPr>
          <w:noProof/>
        </w:rPr>
        <w:t>3</w:t>
      </w:r>
      <w:r>
        <w:fldChar w:fldCharType="end"/>
      </w:r>
      <w:r>
        <w:t xml:space="preserve"> show that blocking from </w:t>
      </w:r>
      <w:r w:rsidR="000A73F4">
        <w:t>P</w:t>
      </w:r>
      <w:r>
        <w:t>robe</w:t>
      </w:r>
      <w:r w:rsidR="000A73F4">
        <w:t xml:space="preserve"> </w:t>
      </w:r>
      <w:r>
        <w:t xml:space="preserve">#1 is worse than from </w:t>
      </w:r>
      <w:r w:rsidR="000A73F4">
        <w:t>P</w:t>
      </w:r>
      <w:r>
        <w:t>robe</w:t>
      </w:r>
      <w:r w:rsidR="000A73F4">
        <w:t xml:space="preserve"> </w:t>
      </w:r>
      <w:r>
        <w:t>#3.</w:t>
      </w:r>
    </w:p>
    <w:p w14:paraId="34AD99A0" w14:textId="1059CC69" w:rsidR="007017C7" w:rsidRDefault="003D44C9" w:rsidP="007017C7">
      <w:pPr>
        <w:spacing w:after="0"/>
        <w:jc w:val="center"/>
      </w:pPr>
      <w:r w:rsidRPr="003D44C9">
        <w:rPr>
          <w:noProof/>
        </w:rPr>
        <w:lastRenderedPageBreak/>
        <w:drawing>
          <wp:inline distT="0" distB="0" distL="0" distR="0" wp14:anchorId="71EDC70E" wp14:editId="1D659419">
            <wp:extent cx="5486400" cy="2308146"/>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486400" cy="2308146"/>
                    </a:xfrm>
                    <a:prstGeom prst="rect">
                      <a:avLst/>
                    </a:prstGeom>
                    <a:noFill/>
                    <a:ln>
                      <a:noFill/>
                    </a:ln>
                  </pic:spPr>
                </pic:pic>
              </a:graphicData>
            </a:graphic>
          </wp:inline>
        </w:drawing>
      </w:r>
    </w:p>
    <w:p w14:paraId="02EB6692" w14:textId="38752365" w:rsidR="007017C7" w:rsidRDefault="007017C7" w:rsidP="007017C7">
      <w:pPr>
        <w:pStyle w:val="Caption"/>
        <w:spacing w:before="0"/>
        <w:jc w:val="center"/>
      </w:pPr>
      <w:bookmarkStart w:id="7" w:name="_Ref67909862"/>
      <w:r>
        <w:t xml:space="preserve">Figure </w:t>
      </w:r>
      <w:r>
        <w:fldChar w:fldCharType="begin"/>
      </w:r>
      <w:r>
        <w:instrText xml:space="preserve"> SEQ Figure \* ARABIC </w:instrText>
      </w:r>
      <w:r>
        <w:fldChar w:fldCharType="separate"/>
      </w:r>
      <w:r w:rsidR="001F20E5">
        <w:rPr>
          <w:noProof/>
        </w:rPr>
        <w:t>3</w:t>
      </w:r>
      <w:r>
        <w:fldChar w:fldCharType="end"/>
      </w:r>
      <w:bookmarkEnd w:id="7"/>
      <w:r>
        <w:t xml:space="preserve">: Visualization of Probes and Probe Locations with extreme </w:t>
      </w:r>
      <w:r w:rsidR="006E5FD8">
        <w:t xml:space="preserve">NR FR2 MIMO OTA </w:t>
      </w:r>
      <w:r>
        <w:t>test configuration of (</w:t>
      </w:r>
      <w:r w:rsidRPr="00346308">
        <w:rPr>
          <w:rFonts w:ascii="Symbol" w:hAnsi="Symbol"/>
        </w:rPr>
        <w:t>q</w:t>
      </w:r>
      <w:r>
        <w:t xml:space="preserve">, </w:t>
      </w:r>
      <w:r w:rsidRPr="00346308">
        <w:rPr>
          <w:rFonts w:ascii="Symbol" w:hAnsi="Symbol"/>
        </w:rPr>
        <w:t>f</w:t>
      </w:r>
      <w:r>
        <w:t>) of (</w:t>
      </w:r>
      <w:r w:rsidR="006E5FD8">
        <w:t>161.7</w:t>
      </w:r>
      <w:r w:rsidRPr="00346308">
        <w:rPr>
          <w:vertAlign w:val="superscript"/>
        </w:rPr>
        <w:t>o</w:t>
      </w:r>
      <w:r>
        <w:t>, 0</w:t>
      </w:r>
      <w:r w:rsidRPr="00346308">
        <w:rPr>
          <w:vertAlign w:val="superscript"/>
        </w:rPr>
        <w:t>o</w:t>
      </w:r>
      <w:r>
        <w:t>) in an example FR2 test system configuration</w:t>
      </w:r>
    </w:p>
    <w:p w14:paraId="1F5C12E3" w14:textId="189CB52D" w:rsidR="007B4010" w:rsidRDefault="00B75081" w:rsidP="00B75081">
      <w:pPr>
        <w:pStyle w:val="Caption"/>
      </w:pPr>
      <w:bookmarkStart w:id="8" w:name="_Ref67930422"/>
      <w:r>
        <w:t xml:space="preserve">Observation </w:t>
      </w:r>
      <w:r>
        <w:fldChar w:fldCharType="begin"/>
      </w:r>
      <w:r>
        <w:instrText xml:space="preserve"> SEQ Observation \* ARABIC </w:instrText>
      </w:r>
      <w:r>
        <w:fldChar w:fldCharType="separate"/>
      </w:r>
      <w:r w:rsidR="005671B7">
        <w:rPr>
          <w:noProof/>
        </w:rPr>
        <w:t>1</w:t>
      </w:r>
      <w:r>
        <w:fldChar w:fldCharType="end"/>
      </w:r>
      <w:r>
        <w:t xml:space="preserve">: </w:t>
      </w:r>
      <w:r w:rsidR="002B2F16">
        <w:t>From a visual perspective, b</w:t>
      </w:r>
      <w:r>
        <w:t>locking from Probe</w:t>
      </w:r>
      <w:r w:rsidR="000A73F4">
        <w:t xml:space="preserve"> </w:t>
      </w:r>
      <w:r>
        <w:t>#1 is worse than from Probe</w:t>
      </w:r>
      <w:r w:rsidR="000A73F4">
        <w:t xml:space="preserve"> </w:t>
      </w:r>
      <w:r>
        <w:t>#3.</w:t>
      </w:r>
      <w:bookmarkEnd w:id="8"/>
      <w:r>
        <w:t xml:space="preserve"> </w:t>
      </w:r>
    </w:p>
    <w:p w14:paraId="1C10C61D" w14:textId="7DA3B265" w:rsidR="00F57678" w:rsidRDefault="00864C2F" w:rsidP="004A6497">
      <w:r>
        <w:t>The overwhelming feedback from companies in RAN4#98bis-e was the further study is needed</w:t>
      </w:r>
      <w:r w:rsidR="00F57678">
        <w:t xml:space="preserve"> </w:t>
      </w:r>
      <w:r w:rsidR="00F57678">
        <w:fldChar w:fldCharType="begin"/>
      </w:r>
      <w:r w:rsidR="00F57678">
        <w:instrText xml:space="preserve"> REF _Ref70589342 \w \h </w:instrText>
      </w:r>
      <w:r w:rsidR="00F57678">
        <w:fldChar w:fldCharType="separate"/>
      </w:r>
      <w:r w:rsidR="001F20E5">
        <w:t>[5]</w:t>
      </w:r>
      <w:r w:rsidR="00F57678">
        <w:fldChar w:fldCharType="end"/>
      </w:r>
      <w:r w:rsidR="00F57678">
        <w:t xml:space="preserve">. </w:t>
      </w:r>
    </w:p>
    <w:tbl>
      <w:tblPr>
        <w:tblStyle w:val="TableGrid"/>
        <w:tblW w:w="0" w:type="auto"/>
        <w:tblLook w:val="04A0" w:firstRow="1" w:lastRow="0" w:firstColumn="1" w:lastColumn="0" w:noHBand="0" w:noVBand="1"/>
      </w:tblPr>
      <w:tblGrid>
        <w:gridCol w:w="9631"/>
      </w:tblGrid>
      <w:tr w:rsidR="00F57678" w14:paraId="2B408BD6" w14:textId="77777777" w:rsidTr="00F57678">
        <w:tc>
          <w:tcPr>
            <w:tcW w:w="9631" w:type="dxa"/>
          </w:tcPr>
          <w:tbl>
            <w:tblPr>
              <w:tblStyle w:val="TableGrid"/>
              <w:tblW w:w="0" w:type="auto"/>
              <w:tblLook w:val="04A0" w:firstRow="1" w:lastRow="0" w:firstColumn="1" w:lastColumn="0" w:noHBand="0" w:noVBand="1"/>
            </w:tblPr>
            <w:tblGrid>
              <w:gridCol w:w="1206"/>
              <w:gridCol w:w="8199"/>
            </w:tblGrid>
            <w:tr w:rsidR="00F57678" w:rsidRPr="000A2AD9" w14:paraId="0AC9FCD9" w14:textId="77777777" w:rsidTr="00F57678">
              <w:tc>
                <w:tcPr>
                  <w:tcW w:w="1206" w:type="dxa"/>
                </w:tcPr>
                <w:p w14:paraId="3C550585" w14:textId="77777777" w:rsidR="00F57678" w:rsidRPr="00045592" w:rsidRDefault="00F57678" w:rsidP="00F57678">
                  <w:pPr>
                    <w:rPr>
                      <w:b/>
                      <w:bCs/>
                      <w:color w:val="0070C0"/>
                      <w:lang w:val="en-US" w:eastAsia="zh-CN"/>
                    </w:rPr>
                  </w:pPr>
                  <w:r>
                    <w:rPr>
                      <w:rFonts w:hint="eastAsia"/>
                      <w:b/>
                      <w:bCs/>
                      <w:color w:val="0070C0"/>
                      <w:lang w:val="en-US" w:eastAsia="zh-CN"/>
                    </w:rPr>
                    <w:t>S</w:t>
                  </w:r>
                  <w:r>
                    <w:rPr>
                      <w:b/>
                      <w:bCs/>
                      <w:color w:val="0070C0"/>
                      <w:lang w:val="en-US" w:eastAsia="zh-CN"/>
                    </w:rPr>
                    <w:t>ub-topic 1-6 FR2 blocking issue</w:t>
                  </w:r>
                </w:p>
              </w:tc>
              <w:tc>
                <w:tcPr>
                  <w:tcW w:w="8199" w:type="dxa"/>
                </w:tcPr>
                <w:p w14:paraId="24C19902" w14:textId="77777777" w:rsidR="00F57678" w:rsidRPr="000A2AD9" w:rsidRDefault="00F57678" w:rsidP="00F57678">
                  <w:pPr>
                    <w:rPr>
                      <w:b/>
                      <w:u w:val="single"/>
                      <w:lang w:eastAsia="ko-KR"/>
                    </w:rPr>
                  </w:pPr>
                  <w:r w:rsidRPr="000A2AD9">
                    <w:rPr>
                      <w:b/>
                      <w:u w:val="single"/>
                      <w:lang w:eastAsia="ko-KR"/>
                    </w:rPr>
                    <w:t>Issue 1-6: FR2 Blocking issue</w:t>
                  </w:r>
                </w:p>
                <w:p w14:paraId="3217A577" w14:textId="77777777" w:rsidR="00F57678" w:rsidRPr="000A2AD9" w:rsidRDefault="00F57678" w:rsidP="00F57678">
                  <w:pPr>
                    <w:rPr>
                      <w:i/>
                      <w:lang w:val="en-US" w:eastAsia="zh-CN"/>
                    </w:rPr>
                  </w:pPr>
                  <w:r w:rsidRPr="000A2AD9">
                    <w:rPr>
                      <w:rFonts w:hint="eastAsia"/>
                      <w:i/>
                      <w:lang w:val="en-US" w:eastAsia="zh-CN"/>
                    </w:rPr>
                    <w:t>8</w:t>
                  </w:r>
                  <w:r w:rsidRPr="000A2AD9">
                    <w:rPr>
                      <w:i/>
                      <w:lang w:val="en-US" w:eastAsia="zh-CN"/>
                    </w:rPr>
                    <w:t xml:space="preserve"> companies shared views on this issue. 7 companies support option 1 and 1 company support option 2. Therefore, the recommended agreement would be:</w:t>
                  </w:r>
                </w:p>
                <w:p w14:paraId="50338180" w14:textId="77777777" w:rsidR="00F57678" w:rsidRPr="000A2AD9" w:rsidRDefault="00F57678" w:rsidP="00F57678">
                  <w:pPr>
                    <w:rPr>
                      <w:i/>
                      <w:lang w:val="en-US" w:eastAsia="zh-CN"/>
                    </w:rPr>
                  </w:pPr>
                  <w:r w:rsidRPr="000A2AD9">
                    <w:rPr>
                      <w:i/>
                      <w:lang w:val="en-US" w:eastAsia="zh-CN"/>
                    </w:rPr>
                    <w:t>A</w:t>
                  </w:r>
                  <w:r w:rsidRPr="000A2AD9">
                    <w:rPr>
                      <w:rFonts w:hint="eastAsia"/>
                      <w:i/>
                      <w:lang w:val="en-US" w:eastAsia="zh-CN"/>
                    </w:rPr>
                    <w:t>greements:</w:t>
                  </w:r>
                </w:p>
                <w:p w14:paraId="62FBD8F9" w14:textId="77777777" w:rsidR="00F57678" w:rsidRPr="000A2AD9" w:rsidRDefault="00F57678" w:rsidP="00F57678">
                  <w:pPr>
                    <w:pStyle w:val="ListParagraph"/>
                    <w:numPr>
                      <w:ilvl w:val="0"/>
                      <w:numId w:val="44"/>
                    </w:numPr>
                    <w:overflowPunct w:val="0"/>
                    <w:autoSpaceDE w:val="0"/>
                    <w:autoSpaceDN w:val="0"/>
                    <w:adjustRightInd w:val="0"/>
                    <w:spacing w:after="180" w:line="240" w:lineRule="auto"/>
                    <w:contextualSpacing w:val="0"/>
                    <w:textAlignment w:val="baseline"/>
                    <w:rPr>
                      <w:rFonts w:eastAsiaTheme="minorEastAsia"/>
                      <w:iCs/>
                      <w:highlight w:val="green"/>
                      <w:lang w:eastAsia="zh-CN"/>
                    </w:rPr>
                  </w:pPr>
                  <w:r w:rsidRPr="000A2AD9">
                    <w:rPr>
                      <w:rFonts w:eastAsiaTheme="minorEastAsia"/>
                      <w:iCs/>
                      <w:highlight w:val="green"/>
                      <w:lang w:eastAsia="zh-CN"/>
                    </w:rPr>
                    <w:t>The blocking issue of 3D-MPAC system is not properly presented, more study is needed.</w:t>
                  </w:r>
                </w:p>
                <w:p w14:paraId="72BFC19D" w14:textId="77777777" w:rsidR="00F57678" w:rsidRPr="000A2AD9" w:rsidRDefault="00F57678" w:rsidP="00F57678">
                  <w:pPr>
                    <w:rPr>
                      <w:i/>
                      <w:lang w:val="en-US" w:eastAsia="zh-CN"/>
                    </w:rPr>
                  </w:pPr>
                  <w:r w:rsidRPr="000A2AD9">
                    <w:rPr>
                      <w:i/>
                      <w:lang w:val="en-US" w:eastAsia="zh-CN"/>
                    </w:rPr>
                    <w:t>Recommendations</w:t>
                  </w:r>
                  <w:r w:rsidRPr="000A2AD9">
                    <w:rPr>
                      <w:rFonts w:hint="eastAsia"/>
                      <w:i/>
                      <w:lang w:val="en-US" w:eastAsia="zh-CN"/>
                    </w:rPr>
                    <w:t xml:space="preserve"> for 2</w:t>
                  </w:r>
                  <w:r w:rsidRPr="000A2AD9">
                    <w:rPr>
                      <w:rFonts w:hint="eastAsia"/>
                      <w:i/>
                      <w:vertAlign w:val="superscript"/>
                      <w:lang w:val="en-US" w:eastAsia="zh-CN"/>
                    </w:rPr>
                    <w:t>nd</w:t>
                  </w:r>
                  <w:r w:rsidRPr="000A2AD9">
                    <w:rPr>
                      <w:rFonts w:hint="eastAsia"/>
                      <w:i/>
                      <w:lang w:val="en-US" w:eastAsia="zh-CN"/>
                    </w:rPr>
                    <w:t xml:space="preserve"> round:</w:t>
                  </w:r>
                </w:p>
                <w:p w14:paraId="41739939" w14:textId="77777777" w:rsidR="00F57678" w:rsidRPr="000A2AD9" w:rsidRDefault="00F57678" w:rsidP="00F57678">
                  <w:pPr>
                    <w:rPr>
                      <w:b/>
                      <w:u w:val="single"/>
                      <w:lang w:eastAsia="ko-KR"/>
                    </w:rPr>
                  </w:pPr>
                  <w:r w:rsidRPr="000A2AD9">
                    <w:rPr>
                      <w:rFonts w:hint="eastAsia"/>
                      <w:iCs/>
                      <w:lang w:val="en-US" w:eastAsia="zh-CN"/>
                    </w:rPr>
                    <w:t>F</w:t>
                  </w:r>
                  <w:r w:rsidRPr="000A2AD9">
                    <w:rPr>
                      <w:iCs/>
                      <w:lang w:val="en-US" w:eastAsia="zh-CN"/>
                    </w:rPr>
                    <w:t>urther discuss how to evaluate the blocking issue in 3D-MPAC system.</w:t>
                  </w:r>
                </w:p>
              </w:tc>
            </w:tr>
          </w:tbl>
          <w:p w14:paraId="74819BBD" w14:textId="5E5717CE" w:rsidR="00F57678" w:rsidRDefault="00F57678" w:rsidP="004A6497"/>
        </w:tc>
      </w:tr>
    </w:tbl>
    <w:p w14:paraId="48355AA1" w14:textId="6D6D357E" w:rsidR="00F57678" w:rsidRDefault="00F57678" w:rsidP="004A6497">
      <w:r>
        <w:t xml:space="preserve">A three-step approach was proposed to further evaluate the blocking using simulations or measurements </w:t>
      </w:r>
      <w:r>
        <w:fldChar w:fldCharType="begin"/>
      </w:r>
      <w:r>
        <w:instrText xml:space="preserve"> REF _Ref70589342 \w \h </w:instrText>
      </w:r>
      <w:r>
        <w:fldChar w:fldCharType="separate"/>
      </w:r>
      <w:r w:rsidR="001F20E5">
        <w:t>[5]</w:t>
      </w:r>
      <w:r>
        <w:fldChar w:fldCharType="end"/>
      </w:r>
      <w:r>
        <w:t>. This contribution is following the proposed three step approach</w:t>
      </w:r>
      <w:r w:rsidR="00FB3721">
        <w:t xml:space="preserve"> using simulations. </w:t>
      </w:r>
    </w:p>
    <w:p w14:paraId="611ED86F" w14:textId="68FF3E86" w:rsidR="00FB3721" w:rsidRDefault="00FB3721" w:rsidP="004A6497">
      <w:r>
        <w:t>The 3D EM simulation tool used is CST, specifically the asymptotic solver</w:t>
      </w:r>
    </w:p>
    <w:tbl>
      <w:tblPr>
        <w:tblStyle w:val="TableGrid"/>
        <w:tblW w:w="0" w:type="auto"/>
        <w:tblLook w:val="04A0" w:firstRow="1" w:lastRow="0" w:firstColumn="1" w:lastColumn="0" w:noHBand="0" w:noVBand="1"/>
      </w:tblPr>
      <w:tblGrid>
        <w:gridCol w:w="9631"/>
      </w:tblGrid>
      <w:tr w:rsidR="00FB3721" w14:paraId="15D0DBBC" w14:textId="77777777" w:rsidTr="00FB3721">
        <w:tc>
          <w:tcPr>
            <w:tcW w:w="9631" w:type="dxa"/>
          </w:tcPr>
          <w:p w14:paraId="266F45AE" w14:textId="4147A0C6" w:rsidR="00FB3721" w:rsidRDefault="00FB3721" w:rsidP="004A6497">
            <w:r>
              <w:rPr>
                <w:rFonts w:ascii="Helvetica" w:hAnsi="Helvetica" w:cs="Helvetica"/>
                <w:color w:val="808080"/>
                <w:sz w:val="21"/>
                <w:szCs w:val="21"/>
                <w:shd w:val="clear" w:color="auto" w:fill="FFFFFF"/>
              </w:rPr>
              <w:t>The Asymptotic Solver is a ray tracing solver which is efficient for extremely large structures where a full-wave solver is unnecessary. The Asymptotic Solver is based on the Shooting Bouncing Ray (SBR) method, an extension to physical optics, and is capable of tackling simulations with an electric size of many thousands of wavelengths</w:t>
            </w:r>
          </w:p>
        </w:tc>
      </w:tr>
    </w:tbl>
    <w:p w14:paraId="230E9B55" w14:textId="3EC271AF" w:rsidR="00FB3721" w:rsidRDefault="00FB3721" w:rsidP="004A6497">
      <w:r>
        <w:t xml:space="preserve">In these simulations, the reference antenna and </w:t>
      </w:r>
      <w:r w:rsidR="007F1884">
        <w:t xml:space="preserve">measurement </w:t>
      </w:r>
      <w:r>
        <w:t xml:space="preserve">probes were modelled with </w:t>
      </w:r>
      <w:r w:rsidR="007F1884">
        <w:t>a</w:t>
      </w:r>
      <w:r>
        <w:t xml:space="preserve"> single-polarized 14dBi horn antenna and only the vertical polarization was evaluated. The </w:t>
      </w:r>
      <w:r w:rsidR="00FB7E5D">
        <w:t>frequency of operation was selected to be 24</w:t>
      </w:r>
      <w:r w:rsidR="007F1884">
        <w:t> </w:t>
      </w:r>
      <w:r w:rsidR="00FB7E5D">
        <w:t xml:space="preserve">GHz and simulation results for this antenna are presented in </w:t>
      </w:r>
      <w:r w:rsidR="00F15ED4">
        <w:fldChar w:fldCharType="begin"/>
      </w:r>
      <w:r w:rsidR="00F15ED4">
        <w:instrText xml:space="preserve"> REF _Ref70590288 \h </w:instrText>
      </w:r>
      <w:r w:rsidR="00F15ED4">
        <w:fldChar w:fldCharType="separate"/>
      </w:r>
      <w:r w:rsidR="001F20E5">
        <w:t xml:space="preserve">Figure </w:t>
      </w:r>
      <w:r w:rsidR="001F20E5">
        <w:rPr>
          <w:noProof/>
        </w:rPr>
        <w:t>4</w:t>
      </w:r>
      <w:r w:rsidR="00F15ED4">
        <w:fldChar w:fldCharType="end"/>
      </w:r>
      <w:r w:rsidR="00F15ED4">
        <w:t xml:space="preserve">. </w:t>
      </w:r>
    </w:p>
    <w:p w14:paraId="281C5515" w14:textId="453BA632" w:rsidR="00FB3721" w:rsidRDefault="00FB3721" w:rsidP="00FB7E5D">
      <w:pPr>
        <w:jc w:val="center"/>
      </w:pPr>
      <w:r>
        <w:rPr>
          <w:noProof/>
        </w:rPr>
        <w:lastRenderedPageBreak/>
        <w:drawing>
          <wp:inline distT="0" distB="0" distL="0" distR="0" wp14:anchorId="1111C117" wp14:editId="43296872">
            <wp:extent cx="3657600" cy="2878932"/>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5">
                      <a:extLst>
                        <a:ext uri="{FF2B5EF4-FFF2-40B4-BE49-F238E27FC236}">
                          <a16:creationId xmlns="" xmlns:o="urn:schemas-microsoft-com:office:office" xmlns:v="urn:schemas-microsoft-com:vml" xmlns:w10="urn:schemas-microsoft-com:office:word" xmlns:w="http://schemas.openxmlformats.org/wordprocessingml/2006/main" xmlns:a14="http://schemas.microsoft.com/office/drawing/2010/main" xmlns:a16="http://schemas.microsoft.com/office/drawing/2014/main" id="{7B2C5849-8477-45E8-96BD-4C632C0E06E5}"/>
                        </a:ext>
                      </a:extLst>
                    </a:blip>
                    <a:srcRect t="2593" r="43553"/>
                    <a:stretch>
                      <a:fillRect/>
                    </a:stretch>
                  </pic:blipFill>
                  <pic:spPr>
                    <a:xfrm>
                      <a:off x="0" y="0"/>
                      <a:ext cx="3657600" cy="2878932"/>
                    </a:xfrm>
                    <a:prstGeom prst="rect">
                      <a:avLst/>
                    </a:prstGeom>
                  </pic:spPr>
                </pic:pic>
              </a:graphicData>
            </a:graphic>
          </wp:inline>
        </w:drawing>
      </w:r>
    </w:p>
    <w:p w14:paraId="1C63A87A" w14:textId="55E9E5CC" w:rsidR="00FB3721" w:rsidRDefault="00FB3721" w:rsidP="00FB7E5D">
      <w:pPr>
        <w:spacing w:after="0"/>
        <w:jc w:val="center"/>
      </w:pPr>
      <w:r>
        <w:rPr>
          <w:noProof/>
        </w:rPr>
        <w:drawing>
          <wp:inline distT="0" distB="0" distL="0" distR="0" wp14:anchorId="3E61FFD8" wp14:editId="6C94B79D">
            <wp:extent cx="3657600" cy="1668537"/>
            <wp:effectExtent l="0" t="0" r="0" b="8255"/>
            <wp:docPr id="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16">
                      <a:extLst>
                        <a:ext uri="{FF2B5EF4-FFF2-40B4-BE49-F238E27FC236}">
                          <a16:creationId xmlns="" xmlns:o="urn:schemas-microsoft-com:office:office" xmlns:v="urn:schemas-microsoft-com:vml" xmlns:w10="urn:schemas-microsoft-com:office:word" xmlns:w="http://schemas.openxmlformats.org/wordprocessingml/2006/main" xmlns:a14="http://schemas.microsoft.com/office/drawing/2010/main" xmlns:a16="http://schemas.microsoft.com/office/drawing/2014/main" id="{A0A031B6-FFE5-478A-AA93-5EE894EB50D0}"/>
                        </a:ext>
                      </a:extLst>
                    </a:blip>
                    <a:stretch>
                      <a:fillRect/>
                    </a:stretch>
                  </pic:blipFill>
                  <pic:spPr>
                    <a:xfrm>
                      <a:off x="0" y="0"/>
                      <a:ext cx="3657600" cy="1668537"/>
                    </a:xfrm>
                    <a:prstGeom prst="rect">
                      <a:avLst/>
                    </a:prstGeom>
                  </pic:spPr>
                </pic:pic>
              </a:graphicData>
            </a:graphic>
          </wp:inline>
        </w:drawing>
      </w:r>
    </w:p>
    <w:p w14:paraId="09219FCD" w14:textId="1AEFE82A" w:rsidR="00FB7E5D" w:rsidRDefault="00FB7E5D" w:rsidP="00FB7E5D">
      <w:pPr>
        <w:pStyle w:val="Caption"/>
        <w:jc w:val="center"/>
      </w:pPr>
      <w:bookmarkStart w:id="9" w:name="_Ref70590288"/>
      <w:r>
        <w:t xml:space="preserve">Figure </w:t>
      </w:r>
      <w:r>
        <w:fldChar w:fldCharType="begin"/>
      </w:r>
      <w:r>
        <w:instrText xml:space="preserve"> SEQ Figure \* ARABIC </w:instrText>
      </w:r>
      <w:r>
        <w:fldChar w:fldCharType="separate"/>
      </w:r>
      <w:r w:rsidR="001F20E5">
        <w:rPr>
          <w:noProof/>
        </w:rPr>
        <w:t>4</w:t>
      </w:r>
      <w:r>
        <w:fldChar w:fldCharType="end"/>
      </w:r>
      <w:bookmarkEnd w:id="9"/>
      <w:r>
        <w:t>: Simulation results for the horn antenna considered as reference antenna (in centre of QZ) and as Probe #1 and #3; pattern (top), return loss (bottom).</w:t>
      </w:r>
    </w:p>
    <w:p w14:paraId="03B1D9ED" w14:textId="1C7B6F8F" w:rsidR="00FB3721" w:rsidRDefault="00FB3721" w:rsidP="004A6497"/>
    <w:p w14:paraId="0AECCA2D" w14:textId="40ADD81F" w:rsidR="007F1884" w:rsidRDefault="007F1884" w:rsidP="007F1884">
      <w:r>
        <w:t xml:space="preserve">The range length, i.e., the distance between the centre of QZ and the measurement probes was selected to be 1m. To keep the complexity of the simulations to a minimum, only probes #1 and #3 were modelled and only the vertical portion of the mast was modelled. The project with the antenna (reference, probe #1 and #3), and the mast (including the dimensions and absolute locations) is illustrated on the left of </w:t>
      </w:r>
      <w:r>
        <w:fldChar w:fldCharType="begin"/>
      </w:r>
      <w:r>
        <w:instrText xml:space="preserve"> REF _Ref70597580 \h </w:instrText>
      </w:r>
      <w:r>
        <w:fldChar w:fldCharType="separate"/>
      </w:r>
      <w:r w:rsidR="001F20E5">
        <w:t xml:space="preserve">Figure </w:t>
      </w:r>
      <w:r w:rsidR="001F20E5">
        <w:rPr>
          <w:noProof/>
        </w:rPr>
        <w:t>5</w:t>
      </w:r>
      <w:r>
        <w:fldChar w:fldCharType="end"/>
      </w:r>
      <w:r>
        <w:t xml:space="preserve"> for the default position (</w:t>
      </w:r>
      <w:r w:rsidRPr="00AD5247">
        <w:rPr>
          <w:rFonts w:ascii="Symbol" w:hAnsi="Symbol"/>
        </w:rPr>
        <w:t>q</w:t>
      </w:r>
      <w:r>
        <w:t xml:space="preserve">, </w:t>
      </w:r>
      <w:r w:rsidRPr="00AD5247">
        <w:rPr>
          <w:rFonts w:ascii="Symbol" w:hAnsi="Symbol"/>
        </w:rPr>
        <w:t>f</w:t>
      </w:r>
      <w:r>
        <w:t>) of (0</w:t>
      </w:r>
      <w:r w:rsidRPr="00AD5247">
        <w:rPr>
          <w:vertAlign w:val="superscript"/>
        </w:rPr>
        <w:t>o</w:t>
      </w:r>
      <w:r>
        <w:t>, 0</w:t>
      </w:r>
      <w:r w:rsidRPr="00AD5247">
        <w:rPr>
          <w:vertAlign w:val="superscript"/>
        </w:rPr>
        <w:t>o</w:t>
      </w:r>
      <w:r>
        <w:t xml:space="preserve">). </w:t>
      </w:r>
      <w:r w:rsidR="00F5656B">
        <w:t xml:space="preserve">The mast was setup with absorptive material properties </w:t>
      </w:r>
      <w:r w:rsidR="00062092">
        <w:t xml:space="preserve">in CST </w:t>
      </w:r>
      <w:r w:rsidR="00F5656B">
        <w:t xml:space="preserve">to emulate absorbers commonly placed on the mast. </w:t>
      </w:r>
    </w:p>
    <w:p w14:paraId="4673806A" w14:textId="4402A788" w:rsidR="007F1884" w:rsidRDefault="004B77E6" w:rsidP="004A6497">
      <w:r>
        <w:fldChar w:fldCharType="begin"/>
      </w:r>
      <w:r>
        <w:instrText xml:space="preserve"> REF _Ref70598378 \h </w:instrText>
      </w:r>
      <w:r>
        <w:fldChar w:fldCharType="separate"/>
      </w:r>
      <w:r w:rsidR="001F20E5">
        <w:t xml:space="preserve">Figure </w:t>
      </w:r>
      <w:r w:rsidR="001F20E5">
        <w:rPr>
          <w:noProof/>
        </w:rPr>
        <w:t>6</w:t>
      </w:r>
      <w:r>
        <w:fldChar w:fldCharType="end"/>
      </w:r>
      <w:r>
        <w:t xml:space="preserve"> shows the first step of the 3-step process to determine the blocking characteristics between the mast and Probe #1 vs Probe #3</w:t>
      </w:r>
      <w:r w:rsidR="00C12DAA">
        <w:t xml:space="preserve"> The simulation project and S21 results are illustrated on the left and various principal views are shown on the right.</w:t>
      </w:r>
      <w:r>
        <w:t xml:space="preserve"> In this step, the reference S21 between the reference horn and Probe #1 is determined without any blocking, i.e., with the positioner/mast in the default position (</w:t>
      </w:r>
      <w:r w:rsidRPr="00AD5247">
        <w:rPr>
          <w:rFonts w:ascii="Symbol" w:hAnsi="Symbol"/>
        </w:rPr>
        <w:t>q</w:t>
      </w:r>
      <w:r>
        <w:t xml:space="preserve">, </w:t>
      </w:r>
      <w:r w:rsidRPr="00AD5247">
        <w:rPr>
          <w:rFonts w:ascii="Symbol" w:hAnsi="Symbol"/>
        </w:rPr>
        <w:t>f</w:t>
      </w:r>
      <w:r>
        <w:t>) of (0</w:t>
      </w:r>
      <w:r w:rsidRPr="00AD5247">
        <w:rPr>
          <w:vertAlign w:val="superscript"/>
        </w:rPr>
        <w:t>o</w:t>
      </w:r>
      <w:r>
        <w:t>, 0</w:t>
      </w:r>
      <w:r w:rsidRPr="00AD5247">
        <w:rPr>
          <w:vertAlign w:val="superscript"/>
        </w:rPr>
        <w:t>o</w:t>
      </w:r>
      <w:r>
        <w:t xml:space="preserve">). With the reference horn pointing directly at Probe #1 (towards the </w:t>
      </w:r>
      <w:r w:rsidRPr="004B77E6">
        <w:rPr>
          <w:i/>
          <w:iCs/>
        </w:rPr>
        <w:t>z</w:t>
      </w:r>
      <w:r>
        <w:t xml:space="preserve"> direction), the S21 between these two antennas is -31.8dB which matches the theoretical FSPL </w:t>
      </w:r>
      <w:r w:rsidR="00D86BB3">
        <w:t xml:space="preserve">of 60dB with twice the 14dBi gain for each antenna subtracted. </w:t>
      </w:r>
      <w:r w:rsidR="00C12DAA">
        <w:t xml:space="preserve">Due to the misalignment between the reference antenna and Probe #3, the S21 between these antennas is reduced by ~3.3dB. </w:t>
      </w:r>
    </w:p>
    <w:p w14:paraId="7738934B" w14:textId="6BB8AFB6" w:rsidR="00D86BB3" w:rsidRDefault="00D86BB3" w:rsidP="00D86BB3">
      <w:pPr>
        <w:pStyle w:val="Caption"/>
      </w:pPr>
      <w:bookmarkStart w:id="10" w:name="_Ref70601635"/>
      <w:r>
        <w:t xml:space="preserve">Observation </w:t>
      </w:r>
      <w:r>
        <w:fldChar w:fldCharType="begin"/>
      </w:r>
      <w:r>
        <w:instrText xml:space="preserve"> SEQ Observation \* ARABIC </w:instrText>
      </w:r>
      <w:r>
        <w:fldChar w:fldCharType="separate"/>
      </w:r>
      <w:r w:rsidR="005671B7">
        <w:rPr>
          <w:noProof/>
        </w:rPr>
        <w:t>2</w:t>
      </w:r>
      <w:r>
        <w:fldChar w:fldCharType="end"/>
      </w:r>
      <w:r>
        <w:t>: The CST asymptotic solver accurately predicts the theoretical S21 between mm-wave horn antennas.</w:t>
      </w:r>
      <w:bookmarkEnd w:id="10"/>
      <w:r>
        <w:t xml:space="preserve"> </w:t>
      </w:r>
    </w:p>
    <w:p w14:paraId="6EAA5690" w14:textId="33FFF6EB" w:rsidR="00C12DAA" w:rsidRDefault="00C12DAA" w:rsidP="00C12DAA">
      <w:r>
        <w:fldChar w:fldCharType="begin"/>
      </w:r>
      <w:r>
        <w:instrText xml:space="preserve"> REF _Ref70599212 \h </w:instrText>
      </w:r>
      <w:r>
        <w:fldChar w:fldCharType="separate"/>
      </w:r>
      <w:r w:rsidR="001F20E5">
        <w:t xml:space="preserve">Figure </w:t>
      </w:r>
      <w:r w:rsidR="001F20E5">
        <w:rPr>
          <w:noProof/>
        </w:rPr>
        <w:t>7</w:t>
      </w:r>
      <w:r>
        <w:fldChar w:fldCharType="end"/>
      </w:r>
      <w:r>
        <w:t xml:space="preserve"> shows the second step of the 3-step process to determine the blocking characteristics between the mast and Probe #1 vs Probe #3 The simulation project and S21 results are illustrated on the left and various principal views are shown on the right. In this step, the S21 between the reference horn and Probe #1 is determined with the maximum amount of blocking, i.e., with the positioner/mast in the maximum AZ position (</w:t>
      </w:r>
      <w:r w:rsidRPr="00AD5247">
        <w:rPr>
          <w:rFonts w:ascii="Symbol" w:hAnsi="Symbol"/>
        </w:rPr>
        <w:t>q</w:t>
      </w:r>
      <w:r>
        <w:t xml:space="preserve">, </w:t>
      </w:r>
      <w:r w:rsidRPr="00AD5247">
        <w:rPr>
          <w:rFonts w:ascii="Symbol" w:hAnsi="Symbol"/>
        </w:rPr>
        <w:t>f</w:t>
      </w:r>
      <w:r>
        <w:t>) of (161.7</w:t>
      </w:r>
      <w:r w:rsidRPr="00AD5247">
        <w:rPr>
          <w:vertAlign w:val="superscript"/>
        </w:rPr>
        <w:t>o</w:t>
      </w:r>
      <w:r>
        <w:t>, 0</w:t>
      </w:r>
      <w:r w:rsidRPr="00AD5247">
        <w:rPr>
          <w:vertAlign w:val="superscript"/>
        </w:rPr>
        <w:t>o</w:t>
      </w:r>
      <w:r>
        <w:t>)</w:t>
      </w:r>
      <w:r w:rsidR="001F20E5">
        <w:t xml:space="preserve"> and w</w:t>
      </w:r>
      <w:r>
        <w:t xml:space="preserve">ith the reference horn pointing again directly at Probe #1 (towards the </w:t>
      </w:r>
      <w:r w:rsidRPr="004B77E6">
        <w:rPr>
          <w:i/>
          <w:iCs/>
        </w:rPr>
        <w:t>z</w:t>
      </w:r>
      <w:r>
        <w:t xml:space="preserve"> direction)</w:t>
      </w:r>
      <w:r w:rsidR="001F20E5">
        <w:t>. T</w:t>
      </w:r>
      <w:r>
        <w:t>he S21 between these two antennas is -41.7dB</w:t>
      </w:r>
      <w:r w:rsidR="00DF17BD">
        <w:t>, i.e., c</w:t>
      </w:r>
      <w:r>
        <w:t>ompared to the result in step</w:t>
      </w:r>
      <w:r w:rsidR="001F20E5">
        <w:t xml:space="preserve"> 1, the mast introduces about ~10dB extra attenuation due to blocking. Since the mast does not obstruct the path between the reference antenna and Probe #3, even with the misalignment between these two antennas, the S21 of -36.6dB is better than the S21 between reference antenna and Probe #1. </w:t>
      </w:r>
    </w:p>
    <w:p w14:paraId="7486B3BD" w14:textId="3CEF4632" w:rsidR="00C12DAA" w:rsidRPr="00C12DAA" w:rsidRDefault="001F20E5" w:rsidP="00C12DAA">
      <w:r>
        <w:lastRenderedPageBreak/>
        <w:fldChar w:fldCharType="begin"/>
      </w:r>
      <w:r>
        <w:instrText xml:space="preserve"> REF _Ref70599901 \h </w:instrText>
      </w:r>
      <w:r>
        <w:fldChar w:fldCharType="separate"/>
      </w:r>
      <w:r>
        <w:t xml:space="preserve">Figure </w:t>
      </w:r>
      <w:r>
        <w:rPr>
          <w:noProof/>
        </w:rPr>
        <w:t>8</w:t>
      </w:r>
      <w:r>
        <w:fldChar w:fldCharType="end"/>
      </w:r>
      <w:r>
        <w:t xml:space="preserve"> shows the final step of the 3-step process to determine the blocking characteristics between the mast and Probe #1 vs Probe #3 The simulation project and S21 results are illustrated on the left and various principal views are shown on the right. In this step, the S21 between the reference horn and Probe #3 is determined with the maximum amount of blocking, i.e., with the positioner/mast in the maximum AZ position (</w:t>
      </w:r>
      <w:r w:rsidRPr="00AD5247">
        <w:rPr>
          <w:rFonts w:ascii="Symbol" w:hAnsi="Symbol"/>
        </w:rPr>
        <w:t>q</w:t>
      </w:r>
      <w:r>
        <w:t xml:space="preserve">, </w:t>
      </w:r>
      <w:r w:rsidRPr="00AD5247">
        <w:rPr>
          <w:rFonts w:ascii="Symbol" w:hAnsi="Symbol"/>
        </w:rPr>
        <w:t>f</w:t>
      </w:r>
      <w:r>
        <w:t>) of (161.7</w:t>
      </w:r>
      <w:r w:rsidRPr="00AD5247">
        <w:rPr>
          <w:vertAlign w:val="superscript"/>
        </w:rPr>
        <w:t>o</w:t>
      </w:r>
      <w:r>
        <w:t>, 0</w:t>
      </w:r>
      <w:r w:rsidRPr="00AD5247">
        <w:rPr>
          <w:vertAlign w:val="superscript"/>
        </w:rPr>
        <w:t>o</w:t>
      </w:r>
      <w:r>
        <w:t>) and with the reference horn pointing directly at Probe #3. The S21 between these two antennas is -</w:t>
      </w:r>
      <w:r w:rsidR="00DF17BD">
        <w:t>32.5</w:t>
      </w:r>
      <w:r>
        <w:t>dB</w:t>
      </w:r>
      <w:r w:rsidR="00DF17BD">
        <w:t>, i.e., c</w:t>
      </w:r>
      <w:r>
        <w:t xml:space="preserve">ompared to the result in step 1, the mast introduces </w:t>
      </w:r>
      <w:r w:rsidR="00DF17BD">
        <w:t>less than 1dB</w:t>
      </w:r>
      <w:r>
        <w:t xml:space="preserve"> attenuation due to blocking. </w:t>
      </w:r>
    </w:p>
    <w:p w14:paraId="331060A0" w14:textId="45C00238" w:rsidR="00F57678" w:rsidRDefault="00F5656B" w:rsidP="00774DDA">
      <w:pPr>
        <w:spacing w:after="0"/>
      </w:pPr>
      <w:r w:rsidRPr="00F5656B">
        <w:rPr>
          <w:noProof/>
        </w:rPr>
        <w:drawing>
          <wp:inline distT="0" distB="0" distL="0" distR="0" wp14:anchorId="4707F4B6" wp14:editId="1C175261">
            <wp:extent cx="5532120" cy="554863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532120" cy="5548630"/>
                    </a:xfrm>
                    <a:prstGeom prst="rect">
                      <a:avLst/>
                    </a:prstGeom>
                    <a:noFill/>
                    <a:ln>
                      <a:noFill/>
                    </a:ln>
                  </pic:spPr>
                </pic:pic>
              </a:graphicData>
            </a:graphic>
          </wp:inline>
        </w:drawing>
      </w:r>
    </w:p>
    <w:p w14:paraId="2594836E" w14:textId="5F1B2974" w:rsidR="00AD5247" w:rsidRDefault="00AD5247" w:rsidP="00774DDA">
      <w:pPr>
        <w:pStyle w:val="Caption"/>
        <w:spacing w:before="0" w:after="0"/>
        <w:jc w:val="center"/>
      </w:pPr>
      <w:bookmarkStart w:id="11" w:name="_Ref70597580"/>
      <w:r>
        <w:t xml:space="preserve">Figure </w:t>
      </w:r>
      <w:r>
        <w:fldChar w:fldCharType="begin"/>
      </w:r>
      <w:r>
        <w:instrText xml:space="preserve"> SEQ Figure \* ARABIC </w:instrText>
      </w:r>
      <w:r>
        <w:fldChar w:fldCharType="separate"/>
      </w:r>
      <w:r w:rsidR="001F20E5">
        <w:rPr>
          <w:noProof/>
        </w:rPr>
        <w:t>5</w:t>
      </w:r>
      <w:r>
        <w:fldChar w:fldCharType="end"/>
      </w:r>
      <w:bookmarkEnd w:id="11"/>
      <w:r>
        <w:t>: Visualization of the CST Project</w:t>
      </w:r>
      <w:r w:rsidR="00774DDA">
        <w:t xml:space="preserve"> from various views </w:t>
      </w:r>
      <w:r>
        <w:t>for when the reference horn is pointed at probe #1 for the default position (</w:t>
      </w:r>
      <w:r w:rsidRPr="00AD5247">
        <w:rPr>
          <w:rFonts w:ascii="Symbol" w:hAnsi="Symbol"/>
        </w:rPr>
        <w:t>q</w:t>
      </w:r>
      <w:r>
        <w:t xml:space="preserve">, </w:t>
      </w:r>
      <w:r w:rsidRPr="00AD5247">
        <w:rPr>
          <w:rFonts w:ascii="Symbol" w:hAnsi="Symbol"/>
        </w:rPr>
        <w:t>f</w:t>
      </w:r>
      <w:r>
        <w:t>) of (0</w:t>
      </w:r>
      <w:r w:rsidRPr="00AD5247">
        <w:rPr>
          <w:vertAlign w:val="superscript"/>
        </w:rPr>
        <w:t>o</w:t>
      </w:r>
      <w:r>
        <w:t>, 0</w:t>
      </w:r>
      <w:r w:rsidRPr="00AD5247">
        <w:rPr>
          <w:vertAlign w:val="superscript"/>
        </w:rPr>
        <w:t>o</w:t>
      </w:r>
      <w:r>
        <w:t>).</w:t>
      </w:r>
    </w:p>
    <w:p w14:paraId="380E9365" w14:textId="27CA2173" w:rsidR="00AD5247" w:rsidRDefault="00AD5247" w:rsidP="004A6497"/>
    <w:p w14:paraId="10720548" w14:textId="5DD7AAA5" w:rsidR="007F1884" w:rsidRDefault="007F1884" w:rsidP="00C12DAA">
      <w:pPr>
        <w:spacing w:after="0"/>
      </w:pPr>
      <w:r w:rsidRPr="007F1884">
        <w:rPr>
          <w:noProof/>
        </w:rPr>
        <w:lastRenderedPageBreak/>
        <w:drawing>
          <wp:inline distT="0" distB="0" distL="0" distR="0" wp14:anchorId="06096010" wp14:editId="6D6F31D5">
            <wp:extent cx="6122035" cy="3461385"/>
            <wp:effectExtent l="0" t="0" r="0" b="571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22035" cy="3461385"/>
                    </a:xfrm>
                    <a:prstGeom prst="rect">
                      <a:avLst/>
                    </a:prstGeom>
                    <a:noFill/>
                    <a:ln>
                      <a:noFill/>
                    </a:ln>
                  </pic:spPr>
                </pic:pic>
              </a:graphicData>
            </a:graphic>
          </wp:inline>
        </w:drawing>
      </w:r>
    </w:p>
    <w:p w14:paraId="37C96916" w14:textId="7AEAF541" w:rsidR="007F1884" w:rsidRDefault="007F1884" w:rsidP="00C12DAA">
      <w:pPr>
        <w:pStyle w:val="Caption"/>
        <w:spacing w:before="0" w:after="0"/>
        <w:jc w:val="center"/>
      </w:pPr>
      <w:bookmarkStart w:id="12" w:name="_Ref70598378"/>
      <w:r>
        <w:t xml:space="preserve">Figure </w:t>
      </w:r>
      <w:r>
        <w:fldChar w:fldCharType="begin"/>
      </w:r>
      <w:r>
        <w:instrText xml:space="preserve"> SEQ Figure \* ARABIC </w:instrText>
      </w:r>
      <w:r>
        <w:fldChar w:fldCharType="separate"/>
      </w:r>
      <w:r w:rsidR="001F20E5">
        <w:rPr>
          <w:noProof/>
        </w:rPr>
        <w:t>6</w:t>
      </w:r>
      <w:r>
        <w:fldChar w:fldCharType="end"/>
      </w:r>
      <w:bookmarkEnd w:id="12"/>
      <w:r>
        <w:t xml:space="preserve">: </w:t>
      </w:r>
      <w:r w:rsidR="00F5656B">
        <w:t xml:space="preserve">Visualization of CST Project </w:t>
      </w:r>
      <w:r w:rsidR="00C12DAA">
        <w:t xml:space="preserve">(Step 1) </w:t>
      </w:r>
      <w:r w:rsidR="00F5656B">
        <w:t xml:space="preserve">including S21 results between reference horn and measurement probes </w:t>
      </w:r>
      <w:r>
        <w:t>for the default position (</w:t>
      </w:r>
      <w:r w:rsidRPr="00AD5247">
        <w:rPr>
          <w:rFonts w:ascii="Symbol" w:hAnsi="Symbol"/>
        </w:rPr>
        <w:t>q</w:t>
      </w:r>
      <w:r>
        <w:t xml:space="preserve">, </w:t>
      </w:r>
      <w:r w:rsidRPr="00AD5247">
        <w:rPr>
          <w:rFonts w:ascii="Symbol" w:hAnsi="Symbol"/>
        </w:rPr>
        <w:t>f</w:t>
      </w:r>
      <w:r>
        <w:t>) of (0</w:t>
      </w:r>
      <w:r w:rsidRPr="00AD5247">
        <w:rPr>
          <w:vertAlign w:val="superscript"/>
        </w:rPr>
        <w:t>o</w:t>
      </w:r>
      <w:r>
        <w:t>, 0</w:t>
      </w:r>
      <w:r w:rsidRPr="00AD5247">
        <w:rPr>
          <w:vertAlign w:val="superscript"/>
        </w:rPr>
        <w:t>o</w:t>
      </w:r>
      <w:r>
        <w:t>)</w:t>
      </w:r>
      <w:r w:rsidR="00F5656B">
        <w:t xml:space="preserve"> and with reference horn pointing directly at Probe #1.</w:t>
      </w:r>
    </w:p>
    <w:p w14:paraId="5520A8B8" w14:textId="2F870F57" w:rsidR="00C12DAA" w:rsidRDefault="00C12DAA" w:rsidP="00C12DAA">
      <w:pPr>
        <w:spacing w:after="0"/>
      </w:pPr>
      <w:r w:rsidRPr="00C12DAA">
        <w:rPr>
          <w:noProof/>
        </w:rPr>
        <w:drawing>
          <wp:inline distT="0" distB="0" distL="0" distR="0" wp14:anchorId="4FE98B53" wp14:editId="5F90C9D4">
            <wp:extent cx="6122035" cy="352679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22035" cy="3526790"/>
                    </a:xfrm>
                    <a:prstGeom prst="rect">
                      <a:avLst/>
                    </a:prstGeom>
                    <a:noFill/>
                    <a:ln>
                      <a:noFill/>
                    </a:ln>
                  </pic:spPr>
                </pic:pic>
              </a:graphicData>
            </a:graphic>
          </wp:inline>
        </w:drawing>
      </w:r>
    </w:p>
    <w:p w14:paraId="60F583E4" w14:textId="178C4E11" w:rsidR="00C12DAA" w:rsidRDefault="00C12DAA" w:rsidP="00C12DAA">
      <w:pPr>
        <w:pStyle w:val="Caption"/>
        <w:spacing w:before="0" w:after="0"/>
        <w:jc w:val="center"/>
      </w:pPr>
      <w:bookmarkStart w:id="13" w:name="_Ref70599212"/>
      <w:r>
        <w:t xml:space="preserve">Figure </w:t>
      </w:r>
      <w:r>
        <w:fldChar w:fldCharType="begin"/>
      </w:r>
      <w:r>
        <w:instrText xml:space="preserve"> SEQ Figure \* ARABIC </w:instrText>
      </w:r>
      <w:r>
        <w:fldChar w:fldCharType="separate"/>
      </w:r>
      <w:r w:rsidR="001F20E5">
        <w:rPr>
          <w:noProof/>
        </w:rPr>
        <w:t>7</w:t>
      </w:r>
      <w:r>
        <w:fldChar w:fldCharType="end"/>
      </w:r>
      <w:bookmarkEnd w:id="13"/>
      <w:r>
        <w:t>: Visualization of CST Project (Step 2) including S21 results between reference horn and measurement probes for the maximum AZ position (</w:t>
      </w:r>
      <w:r w:rsidRPr="00AD5247">
        <w:rPr>
          <w:rFonts w:ascii="Symbol" w:hAnsi="Symbol"/>
        </w:rPr>
        <w:t>q</w:t>
      </w:r>
      <w:r>
        <w:t xml:space="preserve">, </w:t>
      </w:r>
      <w:r w:rsidRPr="00AD5247">
        <w:rPr>
          <w:rFonts w:ascii="Symbol" w:hAnsi="Symbol"/>
        </w:rPr>
        <w:t>f</w:t>
      </w:r>
      <w:r>
        <w:t>) of (161.7</w:t>
      </w:r>
      <w:r w:rsidRPr="00AD5247">
        <w:rPr>
          <w:vertAlign w:val="superscript"/>
        </w:rPr>
        <w:t>o</w:t>
      </w:r>
      <w:r>
        <w:t>, 0</w:t>
      </w:r>
      <w:r w:rsidRPr="00AD5247">
        <w:rPr>
          <w:vertAlign w:val="superscript"/>
        </w:rPr>
        <w:t>o</w:t>
      </w:r>
      <w:r>
        <w:t>) and with reference horn pointing directly at Probe #1.</w:t>
      </w:r>
    </w:p>
    <w:p w14:paraId="4BB74A53" w14:textId="13135B6A" w:rsidR="001F20E5" w:rsidRDefault="001F20E5" w:rsidP="001F20E5">
      <w:pPr>
        <w:spacing w:after="0"/>
      </w:pPr>
      <w:r w:rsidRPr="001F20E5">
        <w:rPr>
          <w:noProof/>
        </w:rPr>
        <w:lastRenderedPageBreak/>
        <w:drawing>
          <wp:inline distT="0" distB="0" distL="0" distR="0" wp14:anchorId="58AE85DF" wp14:editId="2B87F54B">
            <wp:extent cx="6122035" cy="3522980"/>
            <wp:effectExtent l="0" t="0" r="0" b="127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122035" cy="3522980"/>
                    </a:xfrm>
                    <a:prstGeom prst="rect">
                      <a:avLst/>
                    </a:prstGeom>
                    <a:noFill/>
                    <a:ln>
                      <a:noFill/>
                    </a:ln>
                  </pic:spPr>
                </pic:pic>
              </a:graphicData>
            </a:graphic>
          </wp:inline>
        </w:drawing>
      </w:r>
    </w:p>
    <w:p w14:paraId="51AB4265" w14:textId="77448044" w:rsidR="001F20E5" w:rsidRDefault="001F20E5" w:rsidP="001F20E5">
      <w:pPr>
        <w:pStyle w:val="Caption"/>
        <w:spacing w:before="0" w:after="0"/>
        <w:jc w:val="center"/>
      </w:pPr>
      <w:bookmarkStart w:id="14" w:name="_Ref70599901"/>
      <w:r>
        <w:t xml:space="preserve">Figure </w:t>
      </w:r>
      <w:r>
        <w:fldChar w:fldCharType="begin"/>
      </w:r>
      <w:r>
        <w:instrText xml:space="preserve"> SEQ Figure \* ARABIC </w:instrText>
      </w:r>
      <w:r>
        <w:fldChar w:fldCharType="separate"/>
      </w:r>
      <w:r>
        <w:rPr>
          <w:noProof/>
        </w:rPr>
        <w:t>8</w:t>
      </w:r>
      <w:r>
        <w:fldChar w:fldCharType="end"/>
      </w:r>
      <w:bookmarkEnd w:id="14"/>
      <w:r>
        <w:t>: Visualization of CST Project (Step 3) including S21 results between reference horn and measurement probes for the maximum AZ position (</w:t>
      </w:r>
      <w:r w:rsidRPr="00AD5247">
        <w:rPr>
          <w:rFonts w:ascii="Symbol" w:hAnsi="Symbol"/>
        </w:rPr>
        <w:t>q</w:t>
      </w:r>
      <w:r>
        <w:t xml:space="preserve">, </w:t>
      </w:r>
      <w:r w:rsidRPr="00AD5247">
        <w:rPr>
          <w:rFonts w:ascii="Symbol" w:hAnsi="Symbol"/>
        </w:rPr>
        <w:t>f</w:t>
      </w:r>
      <w:r>
        <w:t>) of (161.7</w:t>
      </w:r>
      <w:r w:rsidRPr="00AD5247">
        <w:rPr>
          <w:vertAlign w:val="superscript"/>
        </w:rPr>
        <w:t>o</w:t>
      </w:r>
      <w:r>
        <w:t>, 0</w:t>
      </w:r>
      <w:r w:rsidRPr="00AD5247">
        <w:rPr>
          <w:vertAlign w:val="superscript"/>
        </w:rPr>
        <w:t>o</w:t>
      </w:r>
      <w:r>
        <w:t>) and with reference horn pointing directly at Probe #3.</w:t>
      </w:r>
    </w:p>
    <w:p w14:paraId="35BA55EE" w14:textId="4264C1A8" w:rsidR="007F1884" w:rsidRDefault="007F1884" w:rsidP="004A6497"/>
    <w:p w14:paraId="473D57CC" w14:textId="5F693D6B" w:rsidR="005671B7" w:rsidRDefault="00DF17BD" w:rsidP="004A6497">
      <w:r>
        <w:t xml:space="preserve">These results clearly </w:t>
      </w:r>
      <w:r w:rsidR="005671B7">
        <w:t xml:space="preserve">demonstrate that the mast introduces more blocking between the centre of QZ and Probe #1 than Probe #3 for the sample configuration investigated. However, it is not clear how different mast widths or range lengths change the observed blocking </w:t>
      </w:r>
      <w:r w:rsidR="00494B34">
        <w:t>behaviour</w:t>
      </w:r>
      <w:r w:rsidR="005671B7">
        <w:t>.</w:t>
      </w:r>
    </w:p>
    <w:p w14:paraId="2E662D8A" w14:textId="63662449" w:rsidR="00DF17BD" w:rsidRDefault="005671B7" w:rsidP="005671B7">
      <w:pPr>
        <w:pStyle w:val="Caption"/>
      </w:pPr>
      <w:bookmarkStart w:id="15" w:name="_Ref70601636"/>
      <w:r>
        <w:t xml:space="preserve">Observation </w:t>
      </w:r>
      <w:r>
        <w:fldChar w:fldCharType="begin"/>
      </w:r>
      <w:r>
        <w:instrText xml:space="preserve"> SEQ Observation \* ARABIC </w:instrText>
      </w:r>
      <w:r>
        <w:fldChar w:fldCharType="separate"/>
      </w:r>
      <w:r>
        <w:rPr>
          <w:noProof/>
        </w:rPr>
        <w:t>3</w:t>
      </w:r>
      <w:r>
        <w:fldChar w:fldCharType="end"/>
      </w:r>
      <w:r>
        <w:t>: The simulations of the sample configuration clearly demonstrate that the mast introduces more blocking between the centre of QZ and Probe #1 than Probe #3.</w:t>
      </w:r>
      <w:bookmarkEnd w:id="15"/>
    </w:p>
    <w:p w14:paraId="0ED6187B" w14:textId="443600E6" w:rsidR="00494B34" w:rsidRPr="00494B34" w:rsidRDefault="00494B34" w:rsidP="00494B34">
      <w:pPr>
        <w:pStyle w:val="Caption"/>
      </w:pPr>
      <w:bookmarkStart w:id="16" w:name="_Ref70601637"/>
      <w:r>
        <w:t xml:space="preserve">Proposal </w:t>
      </w:r>
      <w:r>
        <w:fldChar w:fldCharType="begin"/>
      </w:r>
      <w:r>
        <w:instrText xml:space="preserve"> SEQ Proposal \* ARABIC </w:instrText>
      </w:r>
      <w:r>
        <w:fldChar w:fldCharType="separate"/>
      </w:r>
      <w:r>
        <w:rPr>
          <w:noProof/>
        </w:rPr>
        <w:t>1</w:t>
      </w:r>
      <w:r>
        <w:fldChar w:fldCharType="end"/>
      </w:r>
      <w:r>
        <w:t xml:space="preserve">: Consider the blocking issue </w:t>
      </w:r>
      <w:r w:rsidRPr="000A2AD9">
        <w:rPr>
          <w:iCs/>
          <w:lang w:val="en-US" w:eastAsia="zh-CN"/>
        </w:rPr>
        <w:t>in 3D-MPAC system</w:t>
      </w:r>
      <w:r>
        <w:t>s resolved by concluding that Probe #1 experiences more blocking than Probe #3.</w:t>
      </w:r>
      <w:bookmarkEnd w:id="16"/>
    </w:p>
    <w:p w14:paraId="4917CA1A" w14:textId="5E15E29F" w:rsidR="00DD4982" w:rsidRDefault="00386D7A" w:rsidP="00B67F1B">
      <w:r>
        <w:t>In RAN4#98-e, it was questioned whether the current QoQZ procedure properly captures</w:t>
      </w:r>
      <w:r w:rsidRPr="00386D7A">
        <w:t xml:space="preserve"> blocking issue</w:t>
      </w:r>
      <w:r>
        <w:t xml:space="preserve">. </w:t>
      </w:r>
      <w:r w:rsidR="00B67F1B">
        <w:t>As agreed in</w:t>
      </w:r>
      <w:r w:rsidR="007F3403">
        <w:t xml:space="preserve"> </w:t>
      </w:r>
      <w:r w:rsidR="007F3403">
        <w:fldChar w:fldCharType="begin"/>
      </w:r>
      <w:r w:rsidR="007F3403">
        <w:instrText xml:space="preserve"> REF _Ref67920103 \w \h </w:instrText>
      </w:r>
      <w:r w:rsidR="007F3403">
        <w:fldChar w:fldCharType="separate"/>
      </w:r>
      <w:r w:rsidR="001F20E5">
        <w:t>[6]</w:t>
      </w:r>
      <w:r w:rsidR="007F3403">
        <w:fldChar w:fldCharType="end"/>
      </w:r>
      <w:r w:rsidR="007F3403">
        <w:t xml:space="preserve">, </w:t>
      </w:r>
      <w:r w:rsidR="00B67F1B">
        <w:t>NR FR2 MIMO OTA leverages the existing NR FR2 QoQZ procedure</w:t>
      </w:r>
      <w:r w:rsidR="002D2302">
        <w:t xml:space="preserve">, documented in </w:t>
      </w:r>
      <w:r w:rsidR="002D2302">
        <w:fldChar w:fldCharType="begin"/>
      </w:r>
      <w:r w:rsidR="002D2302">
        <w:instrText xml:space="preserve"> REF _Ref67920133 \w \h </w:instrText>
      </w:r>
      <w:r w:rsidR="002D2302">
        <w:fldChar w:fldCharType="separate"/>
      </w:r>
      <w:r w:rsidR="001F20E5">
        <w:t>[7]</w:t>
      </w:r>
      <w:r w:rsidR="002D2302">
        <w:fldChar w:fldCharType="end"/>
      </w:r>
      <w:r w:rsidR="002D2302">
        <w:fldChar w:fldCharType="begin"/>
      </w:r>
      <w:r w:rsidR="002D2302">
        <w:instrText xml:space="preserve"> REF _Ref40111585 \r \h </w:instrText>
      </w:r>
      <w:r w:rsidR="002D2302">
        <w:fldChar w:fldCharType="separate"/>
      </w:r>
      <w:r w:rsidR="001F20E5">
        <w:t>[8]</w:t>
      </w:r>
      <w:r w:rsidR="002D2302">
        <w:fldChar w:fldCharType="end"/>
      </w:r>
      <w:r w:rsidR="002D2302">
        <w:t>,</w:t>
      </w:r>
      <w:r w:rsidR="00B67F1B">
        <w:t xml:space="preserve"> for UE RF test systems and single AoA as well as dual-AoA, multi-probe RRM test systems</w:t>
      </w:r>
      <w:r w:rsidR="00371003">
        <w:t>.</w:t>
      </w:r>
      <w:r w:rsidR="00B67F1B">
        <w:t xml:space="preserve"> </w:t>
      </w:r>
      <w:r w:rsidR="00DD4982">
        <w:t xml:space="preserve">The </w:t>
      </w:r>
      <w:r w:rsidR="00C505AA">
        <w:t xml:space="preserve">QoQZ </w:t>
      </w:r>
      <w:r w:rsidR="00DD4982">
        <w:t xml:space="preserve">procedure and the associated MU element already capture the reflection/blocking effects of the positioner </w:t>
      </w:r>
      <w:r w:rsidR="00C505AA">
        <w:t xml:space="preserve">as stated in </w:t>
      </w:r>
      <w:r w:rsidR="00C505AA">
        <w:fldChar w:fldCharType="begin"/>
      </w:r>
      <w:r w:rsidR="00C505AA">
        <w:instrText xml:space="preserve"> REF _Ref67927983 \w \h </w:instrText>
      </w:r>
      <w:r w:rsidR="00C505AA">
        <w:fldChar w:fldCharType="separate"/>
      </w:r>
      <w:r w:rsidR="001F20E5">
        <w:t>[9]</w:t>
      </w:r>
      <w:r w:rsidR="00C505AA">
        <w:fldChar w:fldCharType="end"/>
      </w:r>
      <w:r w:rsidR="00C505AA">
        <w:t>, specifically B.2.1.3.</w:t>
      </w:r>
    </w:p>
    <w:tbl>
      <w:tblPr>
        <w:tblStyle w:val="TableGrid"/>
        <w:tblW w:w="0" w:type="auto"/>
        <w:tblLook w:val="04A0" w:firstRow="1" w:lastRow="0" w:firstColumn="1" w:lastColumn="0" w:noHBand="0" w:noVBand="1"/>
      </w:tblPr>
      <w:tblGrid>
        <w:gridCol w:w="9631"/>
      </w:tblGrid>
      <w:tr w:rsidR="00DD4982" w14:paraId="74FBBEAD" w14:textId="77777777" w:rsidTr="00DD4982">
        <w:tc>
          <w:tcPr>
            <w:tcW w:w="9631" w:type="dxa"/>
          </w:tcPr>
          <w:p w14:paraId="370CC2EF" w14:textId="77777777" w:rsidR="00DD4982" w:rsidRDefault="00DD4982" w:rsidP="00DD4982">
            <w:pPr>
              <w:pStyle w:val="Default"/>
              <w:rPr>
                <w:sz w:val="28"/>
                <w:szCs w:val="28"/>
              </w:rPr>
            </w:pPr>
            <w:r>
              <w:rPr>
                <w:sz w:val="28"/>
                <w:szCs w:val="28"/>
              </w:rPr>
              <w:t xml:space="preserve">B.2.1.3 Quality of quiet zone </w:t>
            </w:r>
          </w:p>
          <w:p w14:paraId="2CD15021" w14:textId="404FA955" w:rsidR="00DD4982" w:rsidRDefault="00DD4982" w:rsidP="00DD4982">
            <w:r>
              <w:t xml:space="preserve">The </w:t>
            </w:r>
            <w:r w:rsidRPr="00DD4982">
              <w:rPr>
                <w:highlight w:val="yellow"/>
              </w:rPr>
              <w:t>quality of the quiet zone procedure characterizes the quiet zone performance of the anechoic chamber, specifically the effect of reflections within the anechoic chamber including any positioners and support structures</w:t>
            </w:r>
            <w:r>
              <w:t xml:space="preserve">. The MU term additionally includes the amplitude variations effect of offsetting the directive antenna array inside a DUT from the centre of the quiet zone as well as the directivity MU, i.e., the variation of antenna gains in the different direct line-of-sight links. </w:t>
            </w:r>
          </w:p>
        </w:tc>
      </w:tr>
    </w:tbl>
    <w:p w14:paraId="4D9A8105" w14:textId="0451CEAF" w:rsidR="00C505AA" w:rsidRDefault="00C505AA" w:rsidP="00C505AA">
      <w:pPr>
        <w:pStyle w:val="Caption"/>
      </w:pPr>
      <w:bookmarkStart w:id="17" w:name="_Ref67930423"/>
      <w:r>
        <w:t xml:space="preserve">Observation </w:t>
      </w:r>
      <w:r>
        <w:fldChar w:fldCharType="begin"/>
      </w:r>
      <w:r>
        <w:instrText xml:space="preserve"> SEQ Observation \* ARABIC </w:instrText>
      </w:r>
      <w:r>
        <w:fldChar w:fldCharType="separate"/>
      </w:r>
      <w:r w:rsidR="005671B7">
        <w:rPr>
          <w:noProof/>
        </w:rPr>
        <w:t>4</w:t>
      </w:r>
      <w:r>
        <w:fldChar w:fldCharType="end"/>
      </w:r>
      <w:r>
        <w:t xml:space="preserve">: </w:t>
      </w:r>
      <w:r w:rsidR="00386D7A">
        <w:t>The</w:t>
      </w:r>
      <w:r>
        <w:t xml:space="preserve"> QoQZ validation procedure and MU element </w:t>
      </w:r>
      <w:r w:rsidR="00386D7A">
        <w:t>‘</w:t>
      </w:r>
      <w:r w:rsidR="00386D7A" w:rsidRPr="00386D7A">
        <w:t>Quality of quiet zone</w:t>
      </w:r>
      <w:r w:rsidR="00386D7A">
        <w:t xml:space="preserve">’ </w:t>
      </w:r>
      <w:r>
        <w:t>already captures the reflection/blocking from the positioning system.</w:t>
      </w:r>
      <w:bookmarkEnd w:id="17"/>
      <w:r>
        <w:t xml:space="preserve"> </w:t>
      </w:r>
    </w:p>
    <w:p w14:paraId="49AD03D6" w14:textId="0015571C" w:rsidR="00B67F1B" w:rsidRDefault="00B67F1B" w:rsidP="00B67F1B">
      <w:r>
        <w:t xml:space="preserve">For </w:t>
      </w:r>
      <w:r w:rsidR="00A7618D">
        <w:t>the</w:t>
      </w:r>
      <w:r>
        <w:t xml:space="preserve"> multi-probe </w:t>
      </w:r>
      <w:r w:rsidR="00A7618D">
        <w:t xml:space="preserve">FR2 RRM </w:t>
      </w:r>
      <w:r>
        <w:t xml:space="preserve">systems, just a single probe </w:t>
      </w:r>
      <w:r w:rsidR="002D2302">
        <w:t xml:space="preserve">is </w:t>
      </w:r>
      <w:r>
        <w:t xml:space="preserve">used for the QoQZ procedure as outlined in Clause 6.2.1.1 of </w:t>
      </w:r>
      <w:r>
        <w:fldChar w:fldCharType="begin"/>
      </w:r>
      <w:r>
        <w:instrText xml:space="preserve"> REF _Ref40111585 \r \h </w:instrText>
      </w:r>
      <w:r>
        <w:fldChar w:fldCharType="separate"/>
      </w:r>
      <w:r w:rsidR="001F20E5">
        <w:t>[8]</w:t>
      </w:r>
      <w:r>
        <w:fldChar w:fldCharType="end"/>
      </w:r>
      <w:r>
        <w:t xml:space="preserve"> or Clause 7.1.3.2.4 of </w:t>
      </w:r>
      <w:r>
        <w:fldChar w:fldCharType="begin"/>
      </w:r>
      <w:r>
        <w:instrText xml:space="preserve"> REF _Ref67919990 \w \h </w:instrText>
      </w:r>
      <w:r>
        <w:fldChar w:fldCharType="separate"/>
      </w:r>
      <w:r w:rsidR="001F20E5">
        <w:t>[10]</w:t>
      </w:r>
      <w:r>
        <w:fldChar w:fldCharType="end"/>
      </w:r>
    </w:p>
    <w:tbl>
      <w:tblPr>
        <w:tblStyle w:val="TableGrid"/>
        <w:tblW w:w="0" w:type="auto"/>
        <w:tblLook w:val="04A0" w:firstRow="1" w:lastRow="0" w:firstColumn="1" w:lastColumn="0" w:noHBand="0" w:noVBand="1"/>
      </w:tblPr>
      <w:tblGrid>
        <w:gridCol w:w="9631"/>
      </w:tblGrid>
      <w:tr w:rsidR="00B67F1B" w14:paraId="77CC2FA2" w14:textId="77777777" w:rsidTr="000A73F4">
        <w:tc>
          <w:tcPr>
            <w:tcW w:w="9631" w:type="dxa"/>
          </w:tcPr>
          <w:p w14:paraId="5AB31C9B" w14:textId="77777777" w:rsidR="00B67F1B" w:rsidRDefault="00B67F1B" w:rsidP="00B67F1B">
            <w:pPr>
              <w:pStyle w:val="Default"/>
              <w:rPr>
                <w:sz w:val="22"/>
                <w:szCs w:val="22"/>
              </w:rPr>
            </w:pPr>
            <w:r>
              <w:rPr>
                <w:sz w:val="22"/>
                <w:szCs w:val="22"/>
              </w:rPr>
              <w:t xml:space="preserve">7.1.3.2.4 Quality of the quiet zone </w:t>
            </w:r>
          </w:p>
          <w:p w14:paraId="245D5701" w14:textId="77777777" w:rsidR="00B67F1B" w:rsidRDefault="00B67F1B" w:rsidP="00B67F1B">
            <w:pPr>
              <w:pStyle w:val="Default"/>
              <w:rPr>
                <w:sz w:val="20"/>
                <w:szCs w:val="20"/>
              </w:rPr>
            </w:pPr>
            <w:r>
              <w:rPr>
                <w:rFonts w:ascii="Times New Roman" w:hAnsi="Times New Roman" w:cs="Times New Roman"/>
                <w:sz w:val="20"/>
                <w:szCs w:val="20"/>
              </w:rPr>
              <w:t xml:space="preserve">For RRM, the quality of the quiet zone validation defined in Annex O of TS 38.521-2 [15] needs to assess only the single-directional EIRP and EIS metrics. For measurement setups with multiple probes, the QoQZ procedure needs to be performed with all probes present </w:t>
            </w:r>
            <w:proofErr w:type="gramStart"/>
            <w:r>
              <w:rPr>
                <w:rFonts w:ascii="Times New Roman" w:hAnsi="Times New Roman" w:cs="Times New Roman"/>
                <w:sz w:val="20"/>
                <w:szCs w:val="20"/>
              </w:rPr>
              <w:t>and in the conditions</w:t>
            </w:r>
            <w:proofErr w:type="gramEnd"/>
            <w:r>
              <w:rPr>
                <w:rFonts w:ascii="Times New Roman" w:hAnsi="Times New Roman" w:cs="Times New Roman"/>
                <w:sz w:val="20"/>
                <w:szCs w:val="20"/>
              </w:rPr>
              <w:t xml:space="preserve"> used for RRM testing. </w:t>
            </w:r>
          </w:p>
          <w:p w14:paraId="2BDF7C09" w14:textId="77777777" w:rsidR="00B67F1B" w:rsidRDefault="00B67F1B" w:rsidP="00B67F1B">
            <w:pPr>
              <w:pStyle w:val="Default"/>
              <w:rPr>
                <w:sz w:val="20"/>
                <w:szCs w:val="20"/>
              </w:rPr>
            </w:pPr>
            <w:r>
              <w:rPr>
                <w:rFonts w:ascii="Times New Roman" w:hAnsi="Times New Roman" w:cs="Times New Roman"/>
                <w:sz w:val="20"/>
                <w:szCs w:val="20"/>
              </w:rPr>
              <w:t xml:space="preserve">The quality of the quiet zone for the RRM measurement setup based on DFF is described in B.2.2.3. </w:t>
            </w:r>
            <w:r w:rsidRPr="00B67F1B">
              <w:rPr>
                <w:rFonts w:ascii="Times New Roman" w:hAnsi="Times New Roman" w:cs="Times New Roman"/>
                <w:sz w:val="20"/>
                <w:szCs w:val="20"/>
                <w:highlight w:val="yellow"/>
              </w:rPr>
              <w:t>The QoQZ validation needs to be performed only with the reference probe P0.</w:t>
            </w:r>
            <w:r>
              <w:rPr>
                <w:rFonts w:ascii="Times New Roman" w:hAnsi="Times New Roman" w:cs="Times New Roman"/>
                <w:sz w:val="20"/>
                <w:szCs w:val="20"/>
              </w:rPr>
              <w:t xml:space="preserve"> </w:t>
            </w:r>
          </w:p>
          <w:p w14:paraId="37A6215D" w14:textId="77777777" w:rsidR="00B67F1B" w:rsidRDefault="00B67F1B" w:rsidP="00B67F1B">
            <w:pPr>
              <w:pStyle w:val="Default"/>
              <w:rPr>
                <w:rFonts w:ascii="Times New Roman" w:hAnsi="Times New Roman" w:cs="Times New Roman"/>
                <w:sz w:val="20"/>
                <w:szCs w:val="20"/>
              </w:rPr>
            </w:pPr>
            <w:r>
              <w:rPr>
                <w:rFonts w:ascii="Times New Roman" w:hAnsi="Times New Roman" w:cs="Times New Roman"/>
                <w:sz w:val="20"/>
                <w:szCs w:val="20"/>
              </w:rPr>
              <w:lastRenderedPageBreak/>
              <w:t xml:space="preserve">The quality of the quiet zone for the RRM measurement setup based on simplified DFF is described in B.2.3.3. </w:t>
            </w:r>
          </w:p>
          <w:p w14:paraId="7B5ABA2F" w14:textId="77777777" w:rsidR="00B67F1B" w:rsidRDefault="00B67F1B" w:rsidP="00B67F1B">
            <w:pPr>
              <w:pStyle w:val="Default"/>
              <w:rPr>
                <w:sz w:val="20"/>
                <w:szCs w:val="20"/>
              </w:rPr>
            </w:pPr>
            <w:r>
              <w:rPr>
                <w:rFonts w:ascii="Times New Roman" w:hAnsi="Times New Roman" w:cs="Times New Roman"/>
                <w:sz w:val="20"/>
                <w:szCs w:val="20"/>
              </w:rPr>
              <w:t xml:space="preserve">The quality of the quiet zone for the RRM measurement setup based on IFF is described in B.2.4.3. </w:t>
            </w:r>
          </w:p>
          <w:p w14:paraId="0D790BF3" w14:textId="62A58F43" w:rsidR="00B67F1B" w:rsidRDefault="00B67F1B" w:rsidP="00B67F1B">
            <w:r>
              <w:t>The quality of the quiet zone for the RRM measurement setup based on enhanced IFF is described in B.2.4.3. The QoQZ validation needs to be performed only with the reference reflector, P0, if same sized IFF reflectors are used.</w:t>
            </w:r>
          </w:p>
        </w:tc>
      </w:tr>
    </w:tbl>
    <w:p w14:paraId="0DC07073" w14:textId="1632D2DA" w:rsidR="002D2302" w:rsidRDefault="002D2302" w:rsidP="00B67F1B">
      <w:r>
        <w:lastRenderedPageBreak/>
        <w:t xml:space="preserve">Hence, even the 2 AoA RRM test cases which </w:t>
      </w:r>
      <w:r w:rsidR="00A7618D">
        <w:t>use</w:t>
      </w:r>
      <w:r>
        <w:t xml:space="preserve"> multiple probes simultaneously </w:t>
      </w:r>
      <w:r w:rsidR="00A7618D">
        <w:t>are</w:t>
      </w:r>
      <w:r>
        <w:t xml:space="preserve"> leveraging a QoQZ procedure that relies on a single probe. </w:t>
      </w:r>
    </w:p>
    <w:p w14:paraId="0C791621" w14:textId="6079E1D2" w:rsidR="002D2302" w:rsidRDefault="002D2302" w:rsidP="00481D0F">
      <w:pPr>
        <w:pStyle w:val="Caption"/>
      </w:pPr>
      <w:bookmarkStart w:id="18" w:name="_Ref67930424"/>
      <w:r>
        <w:t xml:space="preserve">Observation </w:t>
      </w:r>
      <w:r>
        <w:fldChar w:fldCharType="begin"/>
      </w:r>
      <w:r>
        <w:instrText xml:space="preserve"> SEQ Observation \* ARABIC </w:instrText>
      </w:r>
      <w:r>
        <w:fldChar w:fldCharType="separate"/>
      </w:r>
      <w:r w:rsidR="005671B7">
        <w:rPr>
          <w:noProof/>
        </w:rPr>
        <w:t>5</w:t>
      </w:r>
      <w:r>
        <w:fldChar w:fldCharType="end"/>
      </w:r>
      <w:r>
        <w:t xml:space="preserve">: </w:t>
      </w:r>
      <w:r w:rsidR="00A7618D">
        <w:t xml:space="preserve">2 AoA RRM, which also leverages multiple probes simultaneously, is using the same </w:t>
      </w:r>
      <w:r>
        <w:t xml:space="preserve">QoQZ validation procedure with a single probe </w:t>
      </w:r>
      <w:r w:rsidR="00A7618D">
        <w:t>as FR2 MIMO OTA.</w:t>
      </w:r>
      <w:bookmarkEnd w:id="18"/>
      <w:r w:rsidR="00A7618D">
        <w:t xml:space="preserve"> </w:t>
      </w:r>
    </w:p>
    <w:p w14:paraId="646B0B50" w14:textId="2D3214A3" w:rsidR="003D44C9" w:rsidRDefault="003D44C9" w:rsidP="003D44C9">
      <w:r>
        <w:t xml:space="preserve">For systems that support both FR2 MIMO OTA and FR2 RRM testing, leveraging the same probe, i.e., Probe 1/P0 (along </w:t>
      </w:r>
      <w:r w:rsidRPr="003D44C9">
        <w:rPr>
          <w:i/>
          <w:iCs/>
        </w:rPr>
        <w:t>z</w:t>
      </w:r>
      <w:r>
        <w:t xml:space="preserve"> direction), optimizes the QoQZ validation procedure.</w:t>
      </w:r>
    </w:p>
    <w:p w14:paraId="64E2191C" w14:textId="6CE672EE" w:rsidR="003D44C9" w:rsidRDefault="003D44C9" w:rsidP="003D44C9">
      <w:pPr>
        <w:pStyle w:val="Caption"/>
      </w:pPr>
      <w:bookmarkStart w:id="19" w:name="_Ref68251810"/>
      <w:r>
        <w:t xml:space="preserve">Observation </w:t>
      </w:r>
      <w:r>
        <w:fldChar w:fldCharType="begin"/>
      </w:r>
      <w:r>
        <w:instrText xml:space="preserve"> SEQ Observation \* ARABIC </w:instrText>
      </w:r>
      <w:r>
        <w:fldChar w:fldCharType="separate"/>
      </w:r>
      <w:r w:rsidR="005671B7">
        <w:rPr>
          <w:noProof/>
        </w:rPr>
        <w:t>6</w:t>
      </w:r>
      <w:r>
        <w:fldChar w:fldCharType="end"/>
      </w:r>
      <w:r>
        <w:t>: For systems that support both FR2 MIMO OTA and FR2 RRM testing, leveraging the same probe</w:t>
      </w:r>
      <w:r w:rsidR="00D075D8">
        <w:t xml:space="preserve"> </w:t>
      </w:r>
      <w:r>
        <w:t>optimizes the QoQZ validation procedure.</w:t>
      </w:r>
      <w:bookmarkEnd w:id="19"/>
      <w:r>
        <w:t xml:space="preserve"> </w:t>
      </w:r>
    </w:p>
    <w:p w14:paraId="6F4C4931" w14:textId="12C42A8C" w:rsidR="00B67F1B" w:rsidRDefault="00D604EE" w:rsidP="00B67F1B">
      <w:r>
        <w:t xml:space="preserve">The re-positioning concept captured in </w:t>
      </w:r>
      <w:r>
        <w:fldChar w:fldCharType="begin"/>
      </w:r>
      <w:r>
        <w:instrText xml:space="preserve"> REF _Ref67920133 \w \h </w:instrText>
      </w:r>
      <w:r>
        <w:fldChar w:fldCharType="separate"/>
      </w:r>
      <w:r w:rsidR="001F20E5">
        <w:t>[7]</w:t>
      </w:r>
      <w:r>
        <w:fldChar w:fldCharType="end"/>
      </w:r>
      <w:r>
        <w:t>, specifically in N.3</w:t>
      </w:r>
    </w:p>
    <w:tbl>
      <w:tblPr>
        <w:tblStyle w:val="TableGrid"/>
        <w:tblW w:w="0" w:type="auto"/>
        <w:tblLook w:val="04A0" w:firstRow="1" w:lastRow="0" w:firstColumn="1" w:lastColumn="0" w:noHBand="0" w:noVBand="1"/>
      </w:tblPr>
      <w:tblGrid>
        <w:gridCol w:w="9631"/>
      </w:tblGrid>
      <w:tr w:rsidR="00D604EE" w14:paraId="53BA06D9" w14:textId="77777777" w:rsidTr="7FB6D32A">
        <w:tc>
          <w:tcPr>
            <w:tcW w:w="9631" w:type="dxa"/>
          </w:tcPr>
          <w:p w14:paraId="08839EC0" w14:textId="77777777" w:rsidR="00D604EE" w:rsidRPr="00D132BB" w:rsidRDefault="00D604EE" w:rsidP="00D604EE">
            <w:pPr>
              <w:pStyle w:val="Heading1"/>
              <w:keepNext w:val="0"/>
              <w:keepLines w:val="0"/>
            </w:pPr>
            <w:bookmarkStart w:id="20" w:name="_Toc21026927"/>
            <w:bookmarkStart w:id="21" w:name="_Toc27744225"/>
            <w:bookmarkStart w:id="22" w:name="_Toc36197396"/>
            <w:bookmarkStart w:id="23" w:name="_Toc36198088"/>
            <w:r w:rsidRPr="00D132BB">
              <w:t>N.3</w:t>
            </w:r>
            <w:r w:rsidRPr="00D132BB">
              <w:tab/>
              <w:t>DUT positioning guidelines</w:t>
            </w:r>
            <w:bookmarkEnd w:id="20"/>
            <w:bookmarkEnd w:id="21"/>
            <w:bookmarkEnd w:id="22"/>
            <w:bookmarkEnd w:id="23"/>
          </w:p>
          <w:p w14:paraId="3C6DDFE7" w14:textId="77777777" w:rsidR="00D604EE" w:rsidRPr="00D132BB" w:rsidRDefault="00D604EE" w:rsidP="00D604EE">
            <w:r w:rsidRPr="00D132BB">
              <w:t xml:space="preserve">The centre of the reference coordinate system shall be aligned with the geometric centre of the DUT </w:t>
            </w:r>
            <w:proofErr w:type="gramStart"/>
            <w:r w:rsidRPr="00D132BB">
              <w:t>in order to</w:t>
            </w:r>
            <w:proofErr w:type="gramEnd"/>
            <w:r w:rsidRPr="00D132BB">
              <w:t xml:space="preserve"> minimize the offset between antenna arrays integrated at any position of the UE and the centre of the quiet zone.</w:t>
            </w:r>
          </w:p>
          <w:p w14:paraId="5E336494" w14:textId="77777777" w:rsidR="00D604EE" w:rsidRPr="00D132BB" w:rsidRDefault="00D604EE" w:rsidP="00D604EE">
            <w:r w:rsidRPr="00D132BB">
              <w:t>Near-field coupling effects between the antenna and the pedestals/positioners/fixtures generally cause increased signal ripples. Re-positioning the DUT by directing the beam peak away from those areas can reduce the effect of signal ripple on EIRP/EIS measurements. Figure N.3-1 and N.3-2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74A65C6D" w14:textId="00C5FA7F" w:rsidR="00D604EE" w:rsidRPr="00D132BB" w:rsidRDefault="00D604EE" w:rsidP="00D604EE">
            <w:pPr>
              <w:pStyle w:val="TH"/>
              <w:keepNext w:val="0"/>
              <w:keepLines w:val="0"/>
            </w:pPr>
            <w:r>
              <w:rPr>
                <w:noProof/>
              </w:rPr>
              <w:drawing>
                <wp:inline distT="0" distB="0" distL="0" distR="0" wp14:anchorId="22A5A626" wp14:editId="4C15F0DC">
                  <wp:extent cx="4114800" cy="2716530"/>
                  <wp:effectExtent l="0" t="0" r="0" b="762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114800" cy="2716530"/>
                          </a:xfrm>
                          <a:prstGeom prst="rect">
                            <a:avLst/>
                          </a:prstGeom>
                          <a:noFill/>
                          <a:ln>
                            <a:noFill/>
                          </a:ln>
                        </pic:spPr>
                      </pic:pic>
                    </a:graphicData>
                  </a:graphic>
                </wp:inline>
              </w:drawing>
            </w:r>
          </w:p>
          <w:p w14:paraId="2D34B98F" w14:textId="77777777" w:rsidR="00D604EE" w:rsidRPr="00D132BB" w:rsidRDefault="00D604EE" w:rsidP="00D604EE">
            <w:pPr>
              <w:pStyle w:val="TF"/>
              <w:keepLines w:val="0"/>
            </w:pPr>
            <w:r w:rsidRPr="00D132BB">
              <w:t>Figure N.3-1: DUT re-positioning for an example of distributed-axes system</w:t>
            </w:r>
          </w:p>
          <w:p w14:paraId="5ABF7572" w14:textId="77777777" w:rsidR="00D604EE" w:rsidRPr="00D132BB" w:rsidRDefault="00D604EE" w:rsidP="00D604EE"/>
          <w:p w14:paraId="7E096FBA" w14:textId="042A5309" w:rsidR="00D604EE" w:rsidRPr="00D132BB" w:rsidRDefault="00D604EE" w:rsidP="00D604EE">
            <w:pPr>
              <w:pStyle w:val="TH"/>
              <w:keepNext w:val="0"/>
              <w:keepLines w:val="0"/>
            </w:pPr>
            <w:bookmarkStart w:id="24" w:name="_Ref521493134"/>
            <w:r>
              <w:rPr>
                <w:noProof/>
              </w:rPr>
              <w:lastRenderedPageBreak/>
              <w:drawing>
                <wp:inline distT="0" distB="0" distL="0" distR="0" wp14:anchorId="47E3C82F" wp14:editId="62397AB3">
                  <wp:extent cx="5486400" cy="2118257"/>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486400" cy="2118257"/>
                          </a:xfrm>
                          <a:prstGeom prst="rect">
                            <a:avLst/>
                          </a:prstGeom>
                          <a:noFill/>
                          <a:ln>
                            <a:noFill/>
                          </a:ln>
                        </pic:spPr>
                      </pic:pic>
                    </a:graphicData>
                  </a:graphic>
                </wp:inline>
              </w:drawing>
            </w:r>
          </w:p>
          <w:bookmarkEnd w:id="24"/>
          <w:p w14:paraId="4B102031" w14:textId="77777777" w:rsidR="00D604EE" w:rsidRPr="00D132BB" w:rsidRDefault="00D604EE" w:rsidP="00D604EE">
            <w:pPr>
              <w:pStyle w:val="TF"/>
              <w:keepLines w:val="0"/>
            </w:pPr>
            <w:r w:rsidRPr="00D132BB">
              <w:t>Figure N.3-2: DUT re-positioning for an example of combined-axes system</w:t>
            </w:r>
          </w:p>
          <w:p w14:paraId="44AFC7C0" w14:textId="77777777" w:rsidR="00D604EE" w:rsidRPr="00D132BB" w:rsidRDefault="00D604EE" w:rsidP="00D604EE"/>
          <w:p w14:paraId="1EE86010" w14:textId="268EE353" w:rsidR="00D604EE" w:rsidRDefault="00D604EE" w:rsidP="00D604EE">
            <w:r w:rsidRPr="00D132BB">
              <w:t>For EIRP/EIS measurements, re-positioning the DUT makes sure the pedestal is not obstructing the beam path and that the pedestal is not in closer proximity to the measurement antenna/reflector than the DUT.</w:t>
            </w:r>
          </w:p>
        </w:tc>
      </w:tr>
    </w:tbl>
    <w:p w14:paraId="51299C04" w14:textId="59C99514" w:rsidR="00D7446F" w:rsidRDefault="00D604EE" w:rsidP="00B67F1B">
      <w:r>
        <w:lastRenderedPageBreak/>
        <w:t>provides an allowance for test cases and QoQZ validation procedures</w:t>
      </w:r>
      <w:r w:rsidR="00B04EAE">
        <w:t xml:space="preserve"> to minimize the blocking effects</w:t>
      </w:r>
      <w:r w:rsidR="003F25EB">
        <w:t xml:space="preserve"> between DUT and </w:t>
      </w:r>
      <w:r w:rsidR="00D7446F">
        <w:t xml:space="preserve">the </w:t>
      </w:r>
      <w:r w:rsidR="003F25EB">
        <w:t xml:space="preserve">positioner by </w:t>
      </w:r>
      <w:r w:rsidR="00D7446F">
        <w:t xml:space="preserve">adjusting the position/orientation of the device to prevent radiation to be directed towards the positioner. This re-positioning approach has been captured in the test case procedures already, e.g., step 4 of </w:t>
      </w:r>
      <w:r w:rsidR="00062E1E">
        <w:fldChar w:fldCharType="begin"/>
      </w:r>
      <w:r w:rsidR="00062E1E">
        <w:instrText xml:space="preserve"> REF _Ref67930208 \w \h </w:instrText>
      </w:r>
      <w:r w:rsidR="00062E1E">
        <w:fldChar w:fldCharType="separate"/>
      </w:r>
      <w:r w:rsidR="001F20E5">
        <w:t>[3]</w:t>
      </w:r>
      <w:r w:rsidR="00062E1E">
        <w:fldChar w:fldCharType="end"/>
      </w:r>
    </w:p>
    <w:tbl>
      <w:tblPr>
        <w:tblStyle w:val="TableGrid"/>
        <w:tblW w:w="0" w:type="auto"/>
        <w:tblLook w:val="04A0" w:firstRow="1" w:lastRow="0" w:firstColumn="1" w:lastColumn="0" w:noHBand="0" w:noVBand="1"/>
      </w:tblPr>
      <w:tblGrid>
        <w:gridCol w:w="9631"/>
      </w:tblGrid>
      <w:tr w:rsidR="00D7446F" w14:paraId="26C0D8F0" w14:textId="77777777" w:rsidTr="00D7446F">
        <w:tc>
          <w:tcPr>
            <w:tcW w:w="9631" w:type="dxa"/>
          </w:tcPr>
          <w:p w14:paraId="4F4F261C" w14:textId="77777777" w:rsidR="00D7446F" w:rsidRPr="00AE57D3" w:rsidRDefault="00D7446F" w:rsidP="00D7446F">
            <w:pPr>
              <w:rPr>
                <w:lang w:eastAsia="zh-CN"/>
              </w:rPr>
            </w:pPr>
            <w:r w:rsidRPr="00AE57D3">
              <w:rPr>
                <w:lang w:eastAsia="zh-CN"/>
              </w:rPr>
              <w:t xml:space="preserve">For throughput testing, the following steps shall be followed </w:t>
            </w:r>
            <w:proofErr w:type="gramStart"/>
            <w:r w:rsidRPr="00AE57D3">
              <w:rPr>
                <w:lang w:eastAsia="zh-CN"/>
              </w:rPr>
              <w:t>in order to</w:t>
            </w:r>
            <w:proofErr w:type="gramEnd"/>
            <w:r w:rsidRPr="00AE57D3">
              <w:rPr>
                <w:lang w:eastAsia="zh-CN"/>
              </w:rPr>
              <w:t xml:space="preserve"> evaluate </w:t>
            </w:r>
            <w:r>
              <w:rPr>
                <w:lang w:eastAsia="zh-CN"/>
              </w:rPr>
              <w:t>FR2</w:t>
            </w:r>
            <w:r w:rsidRPr="00AE57D3">
              <w:rPr>
                <w:lang w:eastAsia="zh-CN"/>
              </w:rPr>
              <w:t xml:space="preserve"> MIMO OTA performance of the DUT:</w:t>
            </w:r>
          </w:p>
          <w:p w14:paraId="2A75DF7B" w14:textId="77777777" w:rsidR="00D7446F" w:rsidRPr="009B6006" w:rsidRDefault="00D7446F" w:rsidP="00D7446F">
            <w:pPr>
              <w:pStyle w:val="B2"/>
              <w:rPr>
                <w:noProof/>
              </w:rPr>
            </w:pPr>
            <w:r w:rsidRPr="00AE57D3">
              <w:rPr>
                <w:noProof/>
              </w:rPr>
              <w:t xml:space="preserve">1. Position the DUT in the default P0 alignment option </w:t>
            </w:r>
            <w:r w:rsidRPr="009B6006">
              <w:rPr>
                <w:noProof/>
              </w:rPr>
              <w:t xml:space="preserve">(Orientation 1), as defined in </w:t>
            </w:r>
            <w:r w:rsidRPr="00076E37">
              <w:rPr>
                <w:noProof/>
              </w:rPr>
              <w:t xml:space="preserve">Annex A.3 in </w:t>
            </w:r>
            <w:r>
              <w:rPr>
                <w:noProof/>
              </w:rPr>
              <w:t xml:space="preserve">TR38.827 </w:t>
            </w:r>
            <w:r w:rsidRPr="00076E37">
              <w:rPr>
                <w:noProof/>
              </w:rPr>
              <w:t>[2</w:t>
            </w:r>
            <w:r>
              <w:rPr>
                <w:noProof/>
              </w:rPr>
              <w:t>].</w:t>
            </w:r>
          </w:p>
          <w:p w14:paraId="070B4D53" w14:textId="77777777" w:rsidR="00D7446F" w:rsidRPr="009D7529" w:rsidRDefault="00D7446F" w:rsidP="00D7446F">
            <w:pPr>
              <w:pStyle w:val="B2"/>
            </w:pPr>
            <w:r w:rsidRPr="009B6006">
              <w:rPr>
                <w:noProof/>
              </w:rPr>
              <w:t>2. Measure MIMO OTA throughput, the maximum downlink power is TBD. MIMO OTA throughp</w:t>
            </w:r>
            <w:r w:rsidRPr="002A41D7">
              <w:rPr>
                <w:noProof/>
              </w:rPr>
              <w:t>ut</w:t>
            </w:r>
            <w:r w:rsidRPr="002A41D7">
              <w:t xml:space="preserve"> is the minimum d</w:t>
            </w:r>
            <w:r w:rsidRPr="0072537F">
              <w:t>ownlink sig</w:t>
            </w:r>
            <w:r w:rsidRPr="00731D89">
              <w:t xml:space="preserve">nal power resulting in a pre-defined </w:t>
            </w:r>
            <w:r w:rsidRPr="00224151">
              <w:t>throughput value (</w:t>
            </w:r>
            <w:r>
              <w:t>70%</w:t>
            </w:r>
            <w:r w:rsidRPr="00224151">
              <w:t xml:space="preserve">) of the maximum theoretical throughput. </w:t>
            </w:r>
            <w:r w:rsidRPr="003772B9">
              <w:t xml:space="preserve"> The downlink signal power step size shall be no more than 0.5 dB when RF p</w:t>
            </w:r>
            <w:r w:rsidRPr="004F56E3">
              <w:t xml:space="preserve">ower level is near the </w:t>
            </w:r>
            <w:r w:rsidRPr="009D7529">
              <w:t xml:space="preserve">NR MIMO sensitivity level. </w:t>
            </w:r>
          </w:p>
          <w:p w14:paraId="57A2223F" w14:textId="77777777" w:rsidR="00D7446F" w:rsidRPr="002A41D7" w:rsidRDefault="00D7446F" w:rsidP="00D7446F">
            <w:pPr>
              <w:pStyle w:val="B2"/>
            </w:pPr>
            <w:r w:rsidRPr="002E3FFF">
              <w:rPr>
                <w:noProof/>
              </w:rPr>
              <w:t>3. Rotate the UE to the next test point</w:t>
            </w:r>
            <w:r w:rsidRPr="00AE57D3">
              <w:rPr>
                <w:rFonts w:eastAsia="Calibri"/>
              </w:rPr>
              <w:t xml:space="preserve">. </w:t>
            </w:r>
            <w:r w:rsidRPr="00AE57D3">
              <w:t xml:space="preserve">Table </w:t>
            </w:r>
            <w:r>
              <w:t>B</w:t>
            </w:r>
            <w:r w:rsidRPr="00AE57D3">
              <w:t>.2.</w:t>
            </w:r>
            <w:r w:rsidRPr="009B6006">
              <w:t xml:space="preserve">3-1 lists 36 evenly spaced test points determined using the charged particle approach and with test point #1 centred at </w:t>
            </w:r>
            <w:r w:rsidRPr="002A41D7">
              <w:t xml:space="preserve">(0,0). </w:t>
            </w:r>
          </w:p>
          <w:p w14:paraId="0208B477" w14:textId="77777777" w:rsidR="00D7446F" w:rsidRPr="009B6006" w:rsidRDefault="00D7446F" w:rsidP="00D7446F">
            <w:pPr>
              <w:pStyle w:val="B2"/>
            </w:pPr>
            <w:r w:rsidRPr="0072537F">
              <w:t xml:space="preserve">4. </w:t>
            </w:r>
            <w:r w:rsidRPr="00D7446F">
              <w:rPr>
                <w:highlight w:val="yellow"/>
              </w:rPr>
              <w:t>Repeat the test from step 2 for each specified test point. If the re-positioning concept is applied, the device needs to be positioned in P0 Orientation 2 (either option 1 or option 2).</w:t>
            </w:r>
            <w:r w:rsidRPr="009B6006">
              <w:t xml:space="preserve">  </w:t>
            </w:r>
          </w:p>
          <w:p w14:paraId="5CF7BAA9" w14:textId="542E306A" w:rsidR="00D7446F" w:rsidRDefault="00D7446F" w:rsidP="00D7446F">
            <w:pPr>
              <w:pStyle w:val="B2"/>
              <w:rPr>
                <w:noProof/>
              </w:rPr>
            </w:pPr>
            <w:r w:rsidRPr="009B6006">
              <w:rPr>
                <w:noProof/>
              </w:rPr>
              <w:t xml:space="preserve">5. The postprocessing method and the performance metric are FFS. </w:t>
            </w:r>
          </w:p>
        </w:tc>
      </w:tr>
    </w:tbl>
    <w:p w14:paraId="405B9A49" w14:textId="49B3F3EF" w:rsidR="00B67F1B" w:rsidRDefault="00A65F4C" w:rsidP="00B67F1B">
      <w:r>
        <w:t xml:space="preserve">and has been captured in Clause O.2 of </w:t>
      </w:r>
      <w:r>
        <w:fldChar w:fldCharType="begin"/>
      </w:r>
      <w:r>
        <w:instrText xml:space="preserve"> REF _Ref67920133 \w \h </w:instrText>
      </w:r>
      <w:r>
        <w:fldChar w:fldCharType="separate"/>
      </w:r>
      <w:r w:rsidR="001F20E5">
        <w:t>[7]</w:t>
      </w:r>
      <w:r>
        <w:fldChar w:fldCharType="end"/>
      </w:r>
      <w:r>
        <w:t xml:space="preserve">. </w:t>
      </w:r>
      <w:r w:rsidR="002D53EB">
        <w:t xml:space="preserve">Since this approach is optional, the blocking effect between DUT and positioner can be minimized but does not necessarily have to be. </w:t>
      </w:r>
    </w:p>
    <w:p w14:paraId="3867A78C" w14:textId="5FF6E678" w:rsidR="002D53EB" w:rsidRDefault="002D53EB" w:rsidP="002D53EB">
      <w:pPr>
        <w:pStyle w:val="Caption"/>
      </w:pPr>
      <w:bookmarkStart w:id="25" w:name="_Ref67930425"/>
      <w:r>
        <w:t xml:space="preserve">Observation </w:t>
      </w:r>
      <w:r>
        <w:fldChar w:fldCharType="begin"/>
      </w:r>
      <w:r>
        <w:instrText xml:space="preserve"> SEQ Observation \* ARABIC </w:instrText>
      </w:r>
      <w:r>
        <w:fldChar w:fldCharType="separate"/>
      </w:r>
      <w:r w:rsidR="005671B7">
        <w:rPr>
          <w:noProof/>
        </w:rPr>
        <w:t>7</w:t>
      </w:r>
      <w:r>
        <w:fldChar w:fldCharType="end"/>
      </w:r>
      <w:r>
        <w:t xml:space="preserve">: The re-positioning concept has been </w:t>
      </w:r>
      <w:r w:rsidR="00757173">
        <w:t>incorporate</w:t>
      </w:r>
      <w:r w:rsidR="00303EA1">
        <w:t>d</w:t>
      </w:r>
      <w:r>
        <w:t xml:space="preserve"> </w:t>
      </w:r>
      <w:r w:rsidR="00303EA1">
        <w:t>in</w:t>
      </w:r>
      <w:r>
        <w:t xml:space="preserve"> the FR2 MIMO OTA test cases and the QoQZ procedure</w:t>
      </w:r>
      <w:r w:rsidR="00757173">
        <w:t>,</w:t>
      </w:r>
      <w:r>
        <w:t xml:space="preserve"> leveraged for all FR2 test methodologies</w:t>
      </w:r>
      <w:r w:rsidR="00757173">
        <w:t>, as optional approach</w:t>
      </w:r>
      <w:r>
        <w:t>.</w:t>
      </w:r>
      <w:bookmarkEnd w:id="25"/>
    </w:p>
    <w:p w14:paraId="1B5A8AF9" w14:textId="5D3EE5D3" w:rsidR="00757173" w:rsidRDefault="00757173" w:rsidP="00757173">
      <w:r>
        <w:t xml:space="preserve">The maximum test system uncertainty (MTSU), defined in RAN5, corresponds to the maximum acceptable MU of test system used for conformance testing. So far, the MTSUs for all FR2 test cases assume the re-positioning concept is applied for the QoQZ used, i.e., the optimized QoQZ MU must be used to determine the maximum acceptable MU. It is expected that RAN5 will leverage the same approach for NR FR2 MIMO OTA. </w:t>
      </w:r>
    </w:p>
    <w:p w14:paraId="5959F138" w14:textId="21AE5E52" w:rsidR="00757173" w:rsidRDefault="00757173" w:rsidP="00757173">
      <w:pPr>
        <w:pStyle w:val="Caption"/>
      </w:pPr>
      <w:bookmarkStart w:id="26" w:name="_Ref67930426"/>
      <w:r>
        <w:t xml:space="preserve">Observation </w:t>
      </w:r>
      <w:r>
        <w:fldChar w:fldCharType="begin"/>
      </w:r>
      <w:r>
        <w:instrText xml:space="preserve"> SEQ Observation \* ARABIC </w:instrText>
      </w:r>
      <w:r>
        <w:fldChar w:fldCharType="separate"/>
      </w:r>
      <w:r w:rsidR="005671B7">
        <w:rPr>
          <w:noProof/>
        </w:rPr>
        <w:t>8</w:t>
      </w:r>
      <w:r>
        <w:fldChar w:fldCharType="end"/>
      </w:r>
      <w:r>
        <w:t>: The MTSUs for all FR2 test cases assume the re-positioning concept is applied</w:t>
      </w:r>
      <w:r w:rsidR="00DD4982">
        <w:t>, i.e., the optimized QoQZ MU must be used to determine the maximum acceptable MU.</w:t>
      </w:r>
      <w:bookmarkEnd w:id="26"/>
    </w:p>
    <w:p w14:paraId="797C7F1A" w14:textId="429EFE98" w:rsidR="00DD4982" w:rsidRDefault="00DD4982" w:rsidP="00DD4982">
      <w:r>
        <w:t xml:space="preserve">For NR FR2 MIMO OTA, it can therefore be </w:t>
      </w:r>
      <w:r w:rsidR="00A7618D">
        <w:t>concluded</w:t>
      </w:r>
      <w:r>
        <w:t xml:space="preserve"> that the re-positioning concept, already introduced for the test case procedure and the </w:t>
      </w:r>
      <w:r w:rsidR="00A7618D">
        <w:t>underlying</w:t>
      </w:r>
      <w:r>
        <w:t xml:space="preserve"> QoQZ validation procedure, minimizes the blocking</w:t>
      </w:r>
      <w:r w:rsidR="004D670E">
        <w:t xml:space="preserve"> effects</w:t>
      </w:r>
      <w:r>
        <w:t xml:space="preserve">. If this optional approach is not adopted for the test cases and QoQZ validation procedure, the MU due to blocking is already captured </w:t>
      </w:r>
      <w:r w:rsidR="004D670E">
        <w:t xml:space="preserve">and the </w:t>
      </w:r>
      <w:r w:rsidR="004D670E">
        <w:lastRenderedPageBreak/>
        <w:t xml:space="preserve">worst case blocking from </w:t>
      </w:r>
      <w:r w:rsidR="000A73F4">
        <w:t>P</w:t>
      </w:r>
      <w:r w:rsidR="004D670E">
        <w:t xml:space="preserve">robe #1 is </w:t>
      </w:r>
      <w:proofErr w:type="gramStart"/>
      <w:r w:rsidR="004D670E">
        <w:t>taking into account</w:t>
      </w:r>
      <w:proofErr w:type="gramEnd"/>
      <w:r w:rsidR="004D670E">
        <w:t>. It is therefore proposed to</w:t>
      </w:r>
      <w:r w:rsidR="00062E1E">
        <w:t xml:space="preserve"> consider that the blocking issue has been properly captured.</w:t>
      </w:r>
    </w:p>
    <w:p w14:paraId="7C1644CB" w14:textId="1E028589" w:rsidR="00062E1E" w:rsidRPr="00062E1E" w:rsidRDefault="00062E1E" w:rsidP="00062E1E">
      <w:pPr>
        <w:pStyle w:val="Caption"/>
      </w:pPr>
      <w:bookmarkStart w:id="27" w:name="_Ref67930427"/>
      <w:r>
        <w:t xml:space="preserve">Proposal </w:t>
      </w:r>
      <w:r>
        <w:fldChar w:fldCharType="begin"/>
      </w:r>
      <w:r>
        <w:instrText xml:space="preserve"> SEQ Proposal \* ARABIC </w:instrText>
      </w:r>
      <w:r>
        <w:fldChar w:fldCharType="separate"/>
      </w:r>
      <w:r w:rsidR="00494B34">
        <w:rPr>
          <w:noProof/>
        </w:rPr>
        <w:t>2</w:t>
      </w:r>
      <w:r>
        <w:fldChar w:fldCharType="end"/>
      </w:r>
      <w:r>
        <w:t>: Consider the blocking issue properly captured</w:t>
      </w:r>
      <w:r w:rsidR="00D075D8">
        <w:t xml:space="preserve"> for NR FR2 MIMO OTA</w:t>
      </w:r>
      <w:r>
        <w:t>.</w:t>
      </w:r>
      <w:bookmarkEnd w:id="27"/>
    </w:p>
    <w:bookmarkEnd w:id="3"/>
    <w:p w14:paraId="35952390" w14:textId="6AFE9630" w:rsidR="008B0529" w:rsidRDefault="0053435C" w:rsidP="00B67F1B">
      <w:pPr>
        <w:pStyle w:val="Heading1"/>
        <w:ind w:left="0" w:firstLine="0"/>
      </w:pPr>
      <w:r>
        <w:t>Conclusion</w:t>
      </w:r>
    </w:p>
    <w:p w14:paraId="35952391" w14:textId="3B1CA544" w:rsidR="008B0529" w:rsidRDefault="0053435C" w:rsidP="008B0529">
      <w:r>
        <w:t>The following observations and proposals were made in this contribution</w:t>
      </w:r>
    </w:p>
    <w:p w14:paraId="54FCEAFB" w14:textId="4314AD32" w:rsidR="00494B34" w:rsidRPr="00494B34" w:rsidRDefault="00494B34" w:rsidP="008B0529">
      <w:pPr>
        <w:rPr>
          <w:b/>
          <w:bCs/>
        </w:rPr>
      </w:pPr>
      <w:r w:rsidRPr="00494B34">
        <w:rPr>
          <w:b/>
          <w:bCs/>
        </w:rPr>
        <w:fldChar w:fldCharType="begin"/>
      </w:r>
      <w:r w:rsidRPr="00494B34">
        <w:rPr>
          <w:b/>
          <w:bCs/>
        </w:rPr>
        <w:instrText xml:space="preserve"> REF _Ref67930422 \h </w:instrText>
      </w:r>
      <w:r>
        <w:rPr>
          <w:b/>
          <w:bCs/>
        </w:rPr>
        <w:instrText xml:space="preserve"> \* MERGEFORMAT </w:instrText>
      </w:r>
      <w:r w:rsidRPr="00494B34">
        <w:rPr>
          <w:b/>
          <w:bCs/>
        </w:rPr>
      </w:r>
      <w:r w:rsidRPr="00494B34">
        <w:rPr>
          <w:b/>
          <w:bCs/>
        </w:rPr>
        <w:fldChar w:fldCharType="separate"/>
      </w:r>
      <w:r w:rsidRPr="00494B34">
        <w:rPr>
          <w:b/>
          <w:bCs/>
        </w:rPr>
        <w:t xml:space="preserve">Observation </w:t>
      </w:r>
      <w:r w:rsidRPr="00494B34">
        <w:rPr>
          <w:b/>
          <w:bCs/>
          <w:noProof/>
        </w:rPr>
        <w:t>1</w:t>
      </w:r>
      <w:r w:rsidRPr="00494B34">
        <w:rPr>
          <w:b/>
          <w:bCs/>
        </w:rPr>
        <w:t>: From a visual perspective, blocking from Probe #1 is worse than from Probe #3.</w:t>
      </w:r>
      <w:r w:rsidRPr="00494B34">
        <w:rPr>
          <w:b/>
          <w:bCs/>
        </w:rPr>
        <w:fldChar w:fldCharType="end"/>
      </w:r>
    </w:p>
    <w:p w14:paraId="4486E898" w14:textId="0B453102" w:rsidR="00494B34" w:rsidRPr="00494B34" w:rsidRDefault="00494B34" w:rsidP="008B0529">
      <w:pPr>
        <w:rPr>
          <w:b/>
          <w:bCs/>
        </w:rPr>
      </w:pPr>
      <w:r w:rsidRPr="00494B34">
        <w:rPr>
          <w:b/>
          <w:bCs/>
        </w:rPr>
        <w:fldChar w:fldCharType="begin"/>
      </w:r>
      <w:r w:rsidRPr="00494B34">
        <w:rPr>
          <w:b/>
          <w:bCs/>
        </w:rPr>
        <w:instrText xml:space="preserve"> REF _Ref70601635 \h </w:instrText>
      </w:r>
      <w:r>
        <w:rPr>
          <w:b/>
          <w:bCs/>
        </w:rPr>
        <w:instrText xml:space="preserve"> \* MERGEFORMAT </w:instrText>
      </w:r>
      <w:r w:rsidRPr="00494B34">
        <w:rPr>
          <w:b/>
          <w:bCs/>
        </w:rPr>
      </w:r>
      <w:r w:rsidRPr="00494B34">
        <w:rPr>
          <w:b/>
          <w:bCs/>
        </w:rPr>
        <w:fldChar w:fldCharType="separate"/>
      </w:r>
      <w:r w:rsidRPr="00494B34">
        <w:rPr>
          <w:b/>
          <w:bCs/>
        </w:rPr>
        <w:t xml:space="preserve">Observation </w:t>
      </w:r>
      <w:r w:rsidRPr="00494B34">
        <w:rPr>
          <w:b/>
          <w:bCs/>
          <w:noProof/>
        </w:rPr>
        <w:t>2</w:t>
      </w:r>
      <w:r w:rsidRPr="00494B34">
        <w:rPr>
          <w:b/>
          <w:bCs/>
        </w:rPr>
        <w:t>: The CST asymptotic solver accurately predicts the theoretical S21 between mm-wave horn antennas.</w:t>
      </w:r>
      <w:r w:rsidRPr="00494B34">
        <w:rPr>
          <w:b/>
          <w:bCs/>
        </w:rPr>
        <w:fldChar w:fldCharType="end"/>
      </w:r>
    </w:p>
    <w:p w14:paraId="095115B1" w14:textId="7875C508" w:rsidR="00494B34" w:rsidRPr="00494B34" w:rsidRDefault="00494B34" w:rsidP="008B0529">
      <w:pPr>
        <w:rPr>
          <w:b/>
          <w:bCs/>
        </w:rPr>
      </w:pPr>
      <w:r w:rsidRPr="00494B34">
        <w:rPr>
          <w:b/>
          <w:bCs/>
        </w:rPr>
        <w:fldChar w:fldCharType="begin"/>
      </w:r>
      <w:r w:rsidRPr="00494B34">
        <w:rPr>
          <w:b/>
          <w:bCs/>
        </w:rPr>
        <w:instrText xml:space="preserve"> REF _Ref70601636 \h </w:instrText>
      </w:r>
      <w:r>
        <w:rPr>
          <w:b/>
          <w:bCs/>
        </w:rPr>
        <w:instrText xml:space="preserve"> \* MERGEFORMAT </w:instrText>
      </w:r>
      <w:r w:rsidRPr="00494B34">
        <w:rPr>
          <w:b/>
          <w:bCs/>
        </w:rPr>
      </w:r>
      <w:r w:rsidRPr="00494B34">
        <w:rPr>
          <w:b/>
          <w:bCs/>
        </w:rPr>
        <w:fldChar w:fldCharType="separate"/>
      </w:r>
      <w:r w:rsidRPr="00494B34">
        <w:rPr>
          <w:b/>
          <w:bCs/>
        </w:rPr>
        <w:t xml:space="preserve">Observation </w:t>
      </w:r>
      <w:r w:rsidRPr="00494B34">
        <w:rPr>
          <w:b/>
          <w:bCs/>
          <w:noProof/>
        </w:rPr>
        <w:t>3</w:t>
      </w:r>
      <w:r w:rsidRPr="00494B34">
        <w:rPr>
          <w:b/>
          <w:bCs/>
        </w:rPr>
        <w:t>: The simulations of the sample configuration clearly demonstrate that the mast introduces more blocking between the centre of QZ and Probe #1 than Probe #3.</w:t>
      </w:r>
      <w:r w:rsidRPr="00494B34">
        <w:rPr>
          <w:b/>
          <w:bCs/>
        </w:rPr>
        <w:fldChar w:fldCharType="end"/>
      </w:r>
    </w:p>
    <w:p w14:paraId="1F17F696" w14:textId="5914C3A8" w:rsidR="00494B34" w:rsidRPr="00494B34" w:rsidRDefault="00494B34" w:rsidP="008B0529">
      <w:pPr>
        <w:rPr>
          <w:b/>
          <w:bCs/>
        </w:rPr>
      </w:pPr>
      <w:r w:rsidRPr="00494B34">
        <w:rPr>
          <w:b/>
          <w:bCs/>
        </w:rPr>
        <w:fldChar w:fldCharType="begin"/>
      </w:r>
      <w:r w:rsidRPr="00494B34">
        <w:rPr>
          <w:b/>
          <w:bCs/>
        </w:rPr>
        <w:instrText xml:space="preserve"> REF _Ref67930423 \h </w:instrText>
      </w:r>
      <w:r>
        <w:rPr>
          <w:b/>
          <w:bCs/>
        </w:rPr>
        <w:instrText xml:space="preserve"> \* MERGEFORMAT </w:instrText>
      </w:r>
      <w:r w:rsidRPr="00494B34">
        <w:rPr>
          <w:b/>
          <w:bCs/>
        </w:rPr>
      </w:r>
      <w:r w:rsidRPr="00494B34">
        <w:rPr>
          <w:b/>
          <w:bCs/>
        </w:rPr>
        <w:fldChar w:fldCharType="separate"/>
      </w:r>
      <w:r w:rsidRPr="00494B34">
        <w:rPr>
          <w:b/>
          <w:bCs/>
        </w:rPr>
        <w:t xml:space="preserve">Observation </w:t>
      </w:r>
      <w:r w:rsidRPr="00494B34">
        <w:rPr>
          <w:b/>
          <w:bCs/>
          <w:noProof/>
        </w:rPr>
        <w:t>4</w:t>
      </w:r>
      <w:r w:rsidRPr="00494B34">
        <w:rPr>
          <w:b/>
          <w:bCs/>
        </w:rPr>
        <w:t>: The QoQZ validation procedure and MU element ‘Quality of quiet zone’ already captures the reflection/blocking from the positioning system.</w:t>
      </w:r>
      <w:r w:rsidRPr="00494B34">
        <w:rPr>
          <w:b/>
          <w:bCs/>
        </w:rPr>
        <w:fldChar w:fldCharType="end"/>
      </w:r>
    </w:p>
    <w:p w14:paraId="51E7C485" w14:textId="0CA2F8B3" w:rsidR="00494B34" w:rsidRPr="00494B34" w:rsidRDefault="00494B34" w:rsidP="008B0529">
      <w:pPr>
        <w:rPr>
          <w:b/>
          <w:bCs/>
        </w:rPr>
      </w:pPr>
      <w:r w:rsidRPr="00494B34">
        <w:rPr>
          <w:b/>
          <w:bCs/>
        </w:rPr>
        <w:fldChar w:fldCharType="begin"/>
      </w:r>
      <w:r w:rsidRPr="00494B34">
        <w:rPr>
          <w:b/>
          <w:bCs/>
        </w:rPr>
        <w:instrText xml:space="preserve"> REF _Ref67930424 \h </w:instrText>
      </w:r>
      <w:r>
        <w:rPr>
          <w:b/>
          <w:bCs/>
        </w:rPr>
        <w:instrText xml:space="preserve"> \* MERGEFORMAT </w:instrText>
      </w:r>
      <w:r w:rsidRPr="00494B34">
        <w:rPr>
          <w:b/>
          <w:bCs/>
        </w:rPr>
      </w:r>
      <w:r w:rsidRPr="00494B34">
        <w:rPr>
          <w:b/>
          <w:bCs/>
        </w:rPr>
        <w:fldChar w:fldCharType="separate"/>
      </w:r>
      <w:r w:rsidRPr="00494B34">
        <w:rPr>
          <w:b/>
          <w:bCs/>
        </w:rPr>
        <w:t xml:space="preserve">Observation </w:t>
      </w:r>
      <w:r w:rsidRPr="00494B34">
        <w:rPr>
          <w:b/>
          <w:bCs/>
          <w:noProof/>
        </w:rPr>
        <w:t>5</w:t>
      </w:r>
      <w:r w:rsidRPr="00494B34">
        <w:rPr>
          <w:b/>
          <w:bCs/>
        </w:rPr>
        <w:t>: 2 AoA RRM, which also leverages multiple probes simultaneously, is using the same QoQZ validation procedure with a single probe as FR2 MIMO OTA.</w:t>
      </w:r>
      <w:r w:rsidRPr="00494B34">
        <w:rPr>
          <w:b/>
          <w:bCs/>
        </w:rPr>
        <w:fldChar w:fldCharType="end"/>
      </w:r>
    </w:p>
    <w:p w14:paraId="25B86ACC" w14:textId="632B9762" w:rsidR="00494B34" w:rsidRPr="00494B34" w:rsidRDefault="00494B34" w:rsidP="008B0529">
      <w:pPr>
        <w:rPr>
          <w:b/>
          <w:bCs/>
        </w:rPr>
      </w:pPr>
      <w:r w:rsidRPr="00494B34">
        <w:rPr>
          <w:b/>
          <w:bCs/>
        </w:rPr>
        <w:fldChar w:fldCharType="begin"/>
      </w:r>
      <w:r w:rsidRPr="00494B34">
        <w:rPr>
          <w:b/>
          <w:bCs/>
        </w:rPr>
        <w:instrText xml:space="preserve"> REF _Ref68251810 \h </w:instrText>
      </w:r>
      <w:r>
        <w:rPr>
          <w:b/>
          <w:bCs/>
        </w:rPr>
        <w:instrText xml:space="preserve"> \* MERGEFORMAT </w:instrText>
      </w:r>
      <w:r w:rsidRPr="00494B34">
        <w:rPr>
          <w:b/>
          <w:bCs/>
        </w:rPr>
      </w:r>
      <w:r w:rsidRPr="00494B34">
        <w:rPr>
          <w:b/>
          <w:bCs/>
        </w:rPr>
        <w:fldChar w:fldCharType="separate"/>
      </w:r>
      <w:r w:rsidRPr="00494B34">
        <w:rPr>
          <w:b/>
          <w:bCs/>
        </w:rPr>
        <w:t xml:space="preserve">Observation </w:t>
      </w:r>
      <w:r w:rsidRPr="00494B34">
        <w:rPr>
          <w:b/>
          <w:bCs/>
          <w:noProof/>
        </w:rPr>
        <w:t>6</w:t>
      </w:r>
      <w:r w:rsidRPr="00494B34">
        <w:rPr>
          <w:b/>
          <w:bCs/>
        </w:rPr>
        <w:t>: For systems that support both FR2 MIMO OTA and FR2 RRM testing, leveraging the same probe optimizes the QoQZ validation procedure.</w:t>
      </w:r>
      <w:r w:rsidRPr="00494B34">
        <w:rPr>
          <w:b/>
          <w:bCs/>
        </w:rPr>
        <w:fldChar w:fldCharType="end"/>
      </w:r>
    </w:p>
    <w:p w14:paraId="252CAB7D" w14:textId="1A5B78D3" w:rsidR="00494B34" w:rsidRPr="00494B34" w:rsidRDefault="00494B34" w:rsidP="008B0529">
      <w:pPr>
        <w:rPr>
          <w:b/>
          <w:bCs/>
        </w:rPr>
      </w:pPr>
      <w:r w:rsidRPr="00494B34">
        <w:rPr>
          <w:b/>
          <w:bCs/>
        </w:rPr>
        <w:fldChar w:fldCharType="begin"/>
      </w:r>
      <w:r w:rsidRPr="00494B34">
        <w:rPr>
          <w:b/>
          <w:bCs/>
        </w:rPr>
        <w:instrText xml:space="preserve"> REF _Ref67930425 \h </w:instrText>
      </w:r>
      <w:r>
        <w:rPr>
          <w:b/>
          <w:bCs/>
        </w:rPr>
        <w:instrText xml:space="preserve"> \* MERGEFORMAT </w:instrText>
      </w:r>
      <w:r w:rsidRPr="00494B34">
        <w:rPr>
          <w:b/>
          <w:bCs/>
        </w:rPr>
      </w:r>
      <w:r w:rsidRPr="00494B34">
        <w:rPr>
          <w:b/>
          <w:bCs/>
        </w:rPr>
        <w:fldChar w:fldCharType="separate"/>
      </w:r>
      <w:r w:rsidRPr="00494B34">
        <w:rPr>
          <w:b/>
          <w:bCs/>
        </w:rPr>
        <w:t xml:space="preserve">Observation </w:t>
      </w:r>
      <w:r w:rsidRPr="00494B34">
        <w:rPr>
          <w:b/>
          <w:bCs/>
          <w:noProof/>
        </w:rPr>
        <w:t>7</w:t>
      </w:r>
      <w:r w:rsidRPr="00494B34">
        <w:rPr>
          <w:b/>
          <w:bCs/>
        </w:rPr>
        <w:t>: The re-positioning concept has been incorporated in the FR2 MIMO OTA test cases and the QoQZ procedure, leveraged for all FR2 test methodologies, as optional approach.</w:t>
      </w:r>
      <w:r w:rsidRPr="00494B34">
        <w:rPr>
          <w:b/>
          <w:bCs/>
        </w:rPr>
        <w:fldChar w:fldCharType="end"/>
      </w:r>
    </w:p>
    <w:p w14:paraId="0E8CADEA" w14:textId="4236F18C" w:rsidR="00494B34" w:rsidRPr="00494B34" w:rsidRDefault="00494B34" w:rsidP="008B0529">
      <w:pPr>
        <w:rPr>
          <w:b/>
          <w:bCs/>
        </w:rPr>
      </w:pPr>
      <w:r w:rsidRPr="00494B34">
        <w:rPr>
          <w:b/>
          <w:bCs/>
        </w:rPr>
        <w:fldChar w:fldCharType="begin"/>
      </w:r>
      <w:r w:rsidRPr="00494B34">
        <w:rPr>
          <w:b/>
          <w:bCs/>
        </w:rPr>
        <w:instrText xml:space="preserve"> REF _Ref67930426 \h </w:instrText>
      </w:r>
      <w:r>
        <w:rPr>
          <w:b/>
          <w:bCs/>
        </w:rPr>
        <w:instrText xml:space="preserve"> \* MERGEFORMAT </w:instrText>
      </w:r>
      <w:r w:rsidRPr="00494B34">
        <w:rPr>
          <w:b/>
          <w:bCs/>
        </w:rPr>
      </w:r>
      <w:r w:rsidRPr="00494B34">
        <w:rPr>
          <w:b/>
          <w:bCs/>
        </w:rPr>
        <w:fldChar w:fldCharType="separate"/>
      </w:r>
      <w:r w:rsidRPr="00494B34">
        <w:rPr>
          <w:b/>
          <w:bCs/>
        </w:rPr>
        <w:t xml:space="preserve">Observation </w:t>
      </w:r>
      <w:r w:rsidRPr="00494B34">
        <w:rPr>
          <w:b/>
          <w:bCs/>
          <w:noProof/>
        </w:rPr>
        <w:t>8</w:t>
      </w:r>
      <w:r w:rsidRPr="00494B34">
        <w:rPr>
          <w:b/>
          <w:bCs/>
        </w:rPr>
        <w:t>: The MTSUs for all FR2 test cases assume the re-positioning concept is applied, i.e., the optimized QoQZ MU must be used to determine the maximum acceptable MU.</w:t>
      </w:r>
      <w:r w:rsidRPr="00494B34">
        <w:rPr>
          <w:b/>
          <w:bCs/>
        </w:rPr>
        <w:fldChar w:fldCharType="end"/>
      </w:r>
    </w:p>
    <w:p w14:paraId="50B1A9AF" w14:textId="50DD58DB" w:rsidR="00494B34" w:rsidRPr="00494B34" w:rsidRDefault="00494B34" w:rsidP="008B0529">
      <w:pPr>
        <w:rPr>
          <w:b/>
          <w:bCs/>
        </w:rPr>
      </w:pPr>
      <w:r w:rsidRPr="00494B34">
        <w:rPr>
          <w:b/>
          <w:bCs/>
        </w:rPr>
        <w:fldChar w:fldCharType="begin"/>
      </w:r>
      <w:r w:rsidRPr="00494B34">
        <w:rPr>
          <w:b/>
          <w:bCs/>
        </w:rPr>
        <w:instrText xml:space="preserve"> REF _Ref70601637 \h </w:instrText>
      </w:r>
      <w:r>
        <w:rPr>
          <w:b/>
          <w:bCs/>
        </w:rPr>
        <w:instrText xml:space="preserve"> \* MERGEFORMAT </w:instrText>
      </w:r>
      <w:r w:rsidRPr="00494B34">
        <w:rPr>
          <w:b/>
          <w:bCs/>
        </w:rPr>
      </w:r>
      <w:r w:rsidRPr="00494B34">
        <w:rPr>
          <w:b/>
          <w:bCs/>
        </w:rPr>
        <w:fldChar w:fldCharType="separate"/>
      </w:r>
      <w:r w:rsidRPr="00494B34">
        <w:rPr>
          <w:b/>
          <w:bCs/>
        </w:rPr>
        <w:t xml:space="preserve">Proposal </w:t>
      </w:r>
      <w:r w:rsidRPr="00494B34">
        <w:rPr>
          <w:b/>
          <w:bCs/>
          <w:noProof/>
        </w:rPr>
        <w:t>1</w:t>
      </w:r>
      <w:r w:rsidRPr="00494B34">
        <w:rPr>
          <w:b/>
          <w:bCs/>
        </w:rPr>
        <w:t xml:space="preserve">: Consider the blocking issue </w:t>
      </w:r>
      <w:r w:rsidRPr="00494B34">
        <w:rPr>
          <w:b/>
          <w:bCs/>
          <w:iCs/>
          <w:lang w:val="en-US" w:eastAsia="zh-CN"/>
        </w:rPr>
        <w:t>in 3D-MPAC system</w:t>
      </w:r>
      <w:r w:rsidRPr="00494B34">
        <w:rPr>
          <w:b/>
          <w:bCs/>
        </w:rPr>
        <w:t>s resolved by concluding that Probe #1 experiences more blocking than Probe #3.</w:t>
      </w:r>
      <w:r w:rsidRPr="00494B34">
        <w:rPr>
          <w:b/>
          <w:bCs/>
        </w:rPr>
        <w:fldChar w:fldCharType="end"/>
      </w:r>
    </w:p>
    <w:p w14:paraId="649F3469" w14:textId="56A6B0F5" w:rsidR="00494B34" w:rsidRPr="00494B34" w:rsidRDefault="00494B34" w:rsidP="008B0529">
      <w:pPr>
        <w:rPr>
          <w:b/>
          <w:bCs/>
        </w:rPr>
      </w:pPr>
      <w:r w:rsidRPr="00494B34">
        <w:rPr>
          <w:b/>
          <w:bCs/>
        </w:rPr>
        <w:fldChar w:fldCharType="begin"/>
      </w:r>
      <w:r w:rsidRPr="00494B34">
        <w:rPr>
          <w:b/>
          <w:bCs/>
        </w:rPr>
        <w:instrText xml:space="preserve"> REF _Ref67930427 \h </w:instrText>
      </w:r>
      <w:r>
        <w:rPr>
          <w:b/>
          <w:bCs/>
        </w:rPr>
        <w:instrText xml:space="preserve"> \* MERGEFORMAT </w:instrText>
      </w:r>
      <w:r w:rsidRPr="00494B34">
        <w:rPr>
          <w:b/>
          <w:bCs/>
        </w:rPr>
      </w:r>
      <w:r w:rsidRPr="00494B34">
        <w:rPr>
          <w:b/>
          <w:bCs/>
        </w:rPr>
        <w:fldChar w:fldCharType="separate"/>
      </w:r>
      <w:r w:rsidRPr="00494B34">
        <w:rPr>
          <w:b/>
          <w:bCs/>
        </w:rPr>
        <w:t xml:space="preserve">Proposal </w:t>
      </w:r>
      <w:r w:rsidRPr="00494B34">
        <w:rPr>
          <w:b/>
          <w:bCs/>
          <w:noProof/>
        </w:rPr>
        <w:t>2</w:t>
      </w:r>
      <w:r w:rsidRPr="00494B34">
        <w:rPr>
          <w:b/>
          <w:bCs/>
        </w:rPr>
        <w:t>: Consider the blocking issue properly captured for NR FR2 MIMO OTA.</w:t>
      </w:r>
      <w:r w:rsidRPr="00494B34">
        <w:rPr>
          <w:b/>
          <w:bCs/>
        </w:rPr>
        <w:fldChar w:fldCharType="end"/>
      </w:r>
    </w:p>
    <w:p w14:paraId="35952392" w14:textId="4265A1C4" w:rsidR="00DD1C07" w:rsidRDefault="00DD1C07" w:rsidP="00DD1C07">
      <w:pPr>
        <w:pStyle w:val="Heading1"/>
        <w:ind w:left="567" w:hanging="567"/>
      </w:pPr>
      <w:r>
        <w:t>References</w:t>
      </w:r>
    </w:p>
    <w:p w14:paraId="13D45517" w14:textId="77777777" w:rsidR="00864C2F" w:rsidRPr="00B67F1B" w:rsidRDefault="00864C2F" w:rsidP="00864C2F">
      <w:pPr>
        <w:pStyle w:val="ListParagraph"/>
        <w:numPr>
          <w:ilvl w:val="0"/>
          <w:numId w:val="5"/>
        </w:numPr>
        <w:spacing w:after="160" w:line="259" w:lineRule="auto"/>
      </w:pPr>
      <w:bookmarkStart w:id="28" w:name="_Ref70589027"/>
      <w:bookmarkStart w:id="29" w:name="_Ref67930261"/>
      <w:bookmarkStart w:id="30" w:name="_Ref67903899"/>
      <w:r w:rsidRPr="004A6497">
        <w:t>R4-2107126</w:t>
      </w:r>
      <w:r>
        <w:t xml:space="preserve">, </w:t>
      </w:r>
      <w:r w:rsidRPr="004A6497">
        <w:t>On Blocking MU for FR2 MIMO OTA</w:t>
      </w:r>
      <w:r>
        <w:t xml:space="preserve">, Keysight Technologies, </w:t>
      </w:r>
      <w:r w:rsidRPr="004A6497">
        <w:t>3GPP TSG-RAN WG4 Meeting # 98bis-e</w:t>
      </w:r>
      <w:r>
        <w:t>, April 2021</w:t>
      </w:r>
      <w:bookmarkEnd w:id="28"/>
    </w:p>
    <w:p w14:paraId="30B840C7" w14:textId="767D42F1" w:rsidR="004D670E" w:rsidRDefault="004D670E" w:rsidP="006C565C">
      <w:pPr>
        <w:pStyle w:val="ListParagraph"/>
        <w:numPr>
          <w:ilvl w:val="0"/>
          <w:numId w:val="5"/>
        </w:numPr>
        <w:spacing w:after="160" w:line="259" w:lineRule="auto"/>
      </w:pPr>
      <w:bookmarkStart w:id="31" w:name="_Ref70589071"/>
      <w:r w:rsidRPr="004D670E">
        <w:rPr>
          <w:lang w:val="en-GB"/>
        </w:rPr>
        <w:t>R4-2103913</w:t>
      </w:r>
      <w:r>
        <w:rPr>
          <w:lang w:val="en-GB"/>
        </w:rPr>
        <w:t xml:space="preserve">, </w:t>
      </w:r>
      <w:r w:rsidRPr="004D670E">
        <w:rPr>
          <w:lang w:val="en-GB"/>
        </w:rPr>
        <w:t>WF on NR MIMO OTA</w:t>
      </w:r>
      <w:r>
        <w:rPr>
          <w:lang w:val="en-GB"/>
        </w:rPr>
        <w:t xml:space="preserve">, </w:t>
      </w:r>
      <w:r w:rsidRPr="004D670E">
        <w:rPr>
          <w:lang w:val="en-GB"/>
        </w:rPr>
        <w:t>vivo, CAICT</w:t>
      </w:r>
      <w:r>
        <w:rPr>
          <w:lang w:val="en-GB"/>
        </w:rPr>
        <w:t xml:space="preserve">, </w:t>
      </w:r>
      <w:r w:rsidRPr="004D670E">
        <w:rPr>
          <w:lang w:val="en-GB"/>
        </w:rPr>
        <w:t>3GPP TSG-RAN WG4 Meeting #98-e</w:t>
      </w:r>
      <w:r>
        <w:rPr>
          <w:lang w:val="en-GB"/>
        </w:rPr>
        <w:t>, February 2021</w:t>
      </w:r>
      <w:bookmarkEnd w:id="29"/>
      <w:bookmarkEnd w:id="31"/>
    </w:p>
    <w:p w14:paraId="01418998" w14:textId="7996FEC2" w:rsidR="006C565C" w:rsidRDefault="006C565C" w:rsidP="006C565C">
      <w:pPr>
        <w:pStyle w:val="ListParagraph"/>
        <w:numPr>
          <w:ilvl w:val="0"/>
          <w:numId w:val="5"/>
        </w:numPr>
        <w:spacing w:after="160" w:line="259" w:lineRule="auto"/>
      </w:pPr>
      <w:bookmarkStart w:id="32" w:name="_Ref67930208"/>
      <w:r>
        <w:t xml:space="preserve">TS 38.151, </w:t>
      </w:r>
      <w:r w:rsidRPr="00CA2620">
        <w:t>Multiple Input Multiple Output (MIMO) Over-the-Air (OTA) performance requirements</w:t>
      </w:r>
      <w:r>
        <w:t>, V</w:t>
      </w:r>
      <w:r w:rsidRPr="00A733BD">
        <w:t>0.</w:t>
      </w:r>
      <w:r>
        <w:t>2</w:t>
      </w:r>
      <w:r w:rsidRPr="00A733BD">
        <w:t>.0</w:t>
      </w:r>
      <w:r>
        <w:t xml:space="preserve"> (2021-02)</w:t>
      </w:r>
      <w:bookmarkEnd w:id="30"/>
      <w:bookmarkEnd w:id="32"/>
    </w:p>
    <w:p w14:paraId="60537547" w14:textId="478154FE" w:rsidR="009A4E46" w:rsidRDefault="00F85459" w:rsidP="00B67F1B">
      <w:pPr>
        <w:pStyle w:val="ListParagraph"/>
        <w:numPr>
          <w:ilvl w:val="0"/>
          <w:numId w:val="5"/>
        </w:numPr>
        <w:spacing w:after="160" w:line="259" w:lineRule="auto"/>
      </w:pPr>
      <w:bookmarkStart w:id="33" w:name="_Ref67906698"/>
      <w:r w:rsidRPr="00B67F1B">
        <w:t>R4-2101757, Consideration on 3D-MPAC probe locations configuration for FR2 MIMO OTA, OPPO, 3GPP TSG-RAN WG4 Meeting #98-e, February 2021</w:t>
      </w:r>
      <w:bookmarkEnd w:id="33"/>
    </w:p>
    <w:p w14:paraId="47A66CB0" w14:textId="724756CF" w:rsidR="00EA58CF" w:rsidRDefault="00EA58CF" w:rsidP="00B67F1B">
      <w:pPr>
        <w:pStyle w:val="ListParagraph"/>
        <w:numPr>
          <w:ilvl w:val="0"/>
          <w:numId w:val="5"/>
        </w:numPr>
        <w:spacing w:after="160" w:line="259" w:lineRule="auto"/>
      </w:pPr>
      <w:bookmarkStart w:id="34" w:name="_Ref70589342"/>
      <w:r w:rsidRPr="00EA58CF">
        <w:t>R4-2106144</w:t>
      </w:r>
      <w:r>
        <w:t xml:space="preserve">, </w:t>
      </w:r>
      <w:r w:rsidRPr="00EA58CF">
        <w:t>Email discussion summary for [98-bis-e][326] NR_MIMO_OTA</w:t>
      </w:r>
      <w:r>
        <w:t xml:space="preserve">, CAICT, </w:t>
      </w:r>
      <w:r w:rsidRPr="004A6497">
        <w:t>3GPP TSG-RAN WG4 Meeting # 98bis-e</w:t>
      </w:r>
      <w:r>
        <w:t>, April 2021</w:t>
      </w:r>
      <w:bookmarkEnd w:id="34"/>
    </w:p>
    <w:p w14:paraId="4619B20B" w14:textId="77777777" w:rsidR="007F3403" w:rsidRPr="00052390" w:rsidRDefault="007F3403" w:rsidP="007F3403">
      <w:pPr>
        <w:pStyle w:val="ListParagraph"/>
        <w:numPr>
          <w:ilvl w:val="0"/>
          <w:numId w:val="5"/>
        </w:numPr>
        <w:spacing w:after="160" w:line="259" w:lineRule="auto"/>
      </w:pPr>
      <w:bookmarkStart w:id="35" w:name="_Ref67920103"/>
      <w:bookmarkStart w:id="36" w:name="_Ref40111580"/>
      <w:r w:rsidRPr="00B67F1B">
        <w:t>R4-2006740</w:t>
      </w:r>
      <w:r>
        <w:t xml:space="preserve">, </w:t>
      </w:r>
      <w:r w:rsidRPr="00B67F1B">
        <w:t>FR2 Quality of Quiet Zone Procedure</w:t>
      </w:r>
      <w:r>
        <w:t xml:space="preserve">, Keysight Technologies, </w:t>
      </w:r>
      <w:r w:rsidRPr="00B67F1B">
        <w:t>3GPP TSG-RAN WG4 Meeting # 95-e</w:t>
      </w:r>
      <w:r>
        <w:t>, June 2020</w:t>
      </w:r>
      <w:bookmarkEnd w:id="35"/>
    </w:p>
    <w:p w14:paraId="2B5ECCF6" w14:textId="77777777" w:rsidR="00B67F1B" w:rsidRDefault="00B67F1B" w:rsidP="00B67F1B">
      <w:pPr>
        <w:pStyle w:val="ListParagraph"/>
        <w:numPr>
          <w:ilvl w:val="0"/>
          <w:numId w:val="5"/>
        </w:numPr>
        <w:spacing w:after="160" w:line="259" w:lineRule="auto"/>
      </w:pPr>
      <w:bookmarkStart w:id="37" w:name="_Ref67920133"/>
      <w:r w:rsidRPr="00FA423C">
        <w:t>TS 38.521-2, User Equipment (UE) conformance specification; Radio transmission and reception; Part 2: Range 2 Standalone, V16.30 (2020-03)</w:t>
      </w:r>
      <w:bookmarkEnd w:id="36"/>
      <w:bookmarkEnd w:id="37"/>
    </w:p>
    <w:p w14:paraId="6EE9B994" w14:textId="1BB6737E" w:rsidR="00B67F1B" w:rsidRDefault="00B67F1B" w:rsidP="00B67F1B">
      <w:pPr>
        <w:pStyle w:val="ListParagraph"/>
        <w:numPr>
          <w:ilvl w:val="0"/>
          <w:numId w:val="5"/>
        </w:numPr>
        <w:spacing w:after="160" w:line="259" w:lineRule="auto"/>
      </w:pPr>
      <w:bookmarkStart w:id="38" w:name="_Ref40111585"/>
      <w:r w:rsidRPr="00151258">
        <w:t>TR</w:t>
      </w:r>
      <w:r w:rsidR="00A858B1">
        <w:t xml:space="preserve"> </w:t>
      </w:r>
      <w:r w:rsidRPr="00151258">
        <w:t>38.810, Study on test methods, V16.</w:t>
      </w:r>
      <w:r>
        <w:t>5</w:t>
      </w:r>
      <w:r w:rsidRPr="00151258">
        <w:t>.0 (2019-</w:t>
      </w:r>
      <w:r>
        <w:t>12</w:t>
      </w:r>
      <w:r w:rsidRPr="00151258">
        <w:t>)</w:t>
      </w:r>
      <w:bookmarkEnd w:id="38"/>
    </w:p>
    <w:p w14:paraId="49015BC7" w14:textId="77777777" w:rsidR="00A8521F" w:rsidRDefault="00A8521F" w:rsidP="00A8521F">
      <w:pPr>
        <w:pStyle w:val="ListParagraph"/>
        <w:numPr>
          <w:ilvl w:val="0"/>
          <w:numId w:val="5"/>
        </w:numPr>
        <w:spacing w:after="160" w:line="259" w:lineRule="auto"/>
      </w:pPr>
      <w:bookmarkStart w:id="39" w:name="_Ref67927983"/>
      <w:r w:rsidRPr="00562A60">
        <w:t>TR 38.903, Derivation of test tolerances and measurement uncertainty for User Equipment (UE) conformance test cases, V1</w:t>
      </w:r>
      <w:r>
        <w:t>6</w:t>
      </w:r>
      <w:r w:rsidRPr="00562A60">
        <w:t>.</w:t>
      </w:r>
      <w:r>
        <w:t>6</w:t>
      </w:r>
      <w:r w:rsidRPr="00562A60">
        <w:t>.0 (20</w:t>
      </w:r>
      <w:r>
        <w:t>20</w:t>
      </w:r>
      <w:r w:rsidRPr="00562A60">
        <w:t>-</w:t>
      </w:r>
      <w:r>
        <w:t>12</w:t>
      </w:r>
      <w:r w:rsidRPr="00562A60">
        <w:t>)</w:t>
      </w:r>
      <w:bookmarkEnd w:id="39"/>
    </w:p>
    <w:p w14:paraId="11BACD26" w14:textId="77777777" w:rsidR="00B67F1B" w:rsidRDefault="00B67F1B" w:rsidP="00B67F1B">
      <w:pPr>
        <w:pStyle w:val="ListParagraph"/>
        <w:numPr>
          <w:ilvl w:val="0"/>
          <w:numId w:val="5"/>
        </w:numPr>
        <w:spacing w:after="160" w:line="259" w:lineRule="auto"/>
      </w:pPr>
      <w:bookmarkStart w:id="40" w:name="_Ref67919990"/>
      <w:r w:rsidRPr="00151258">
        <w:t>TS</w:t>
      </w:r>
      <w:r>
        <w:t xml:space="preserve"> </w:t>
      </w:r>
      <w:r w:rsidRPr="00151258">
        <w:t>38.508-1, User Equipment (UE) conformance specification; Part 1: Common test environment, V16.</w:t>
      </w:r>
      <w:r>
        <w:t>6.0</w:t>
      </w:r>
      <w:r w:rsidRPr="00151258">
        <w:t xml:space="preserve"> (20</w:t>
      </w:r>
      <w:r>
        <w:t>20</w:t>
      </w:r>
      <w:r w:rsidRPr="00151258">
        <w:t>-</w:t>
      </w:r>
      <w:r>
        <w:t>12</w:t>
      </w:r>
      <w:r w:rsidRPr="00151258">
        <w:t>)</w:t>
      </w:r>
      <w:bookmarkEnd w:id="40"/>
    </w:p>
    <w:sectPr w:rsidR="00B67F1B">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0F38F3B" w14:textId="77777777" w:rsidR="00C12DAA" w:rsidRDefault="00C12DAA">
      <w:r>
        <w:separator/>
      </w:r>
    </w:p>
  </w:endnote>
  <w:endnote w:type="continuationSeparator" w:id="0">
    <w:p w14:paraId="2B745E73" w14:textId="77777777" w:rsidR="00C12DAA" w:rsidRDefault="00C12DAA">
      <w:r>
        <w:continuationSeparator/>
      </w:r>
    </w:p>
  </w:endnote>
  <w:endnote w:type="continuationNotice" w:id="1">
    <w:p w14:paraId="10E66845" w14:textId="77777777" w:rsidR="00C12DAA" w:rsidRDefault="00C12DA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5C78D1A" w14:textId="77777777" w:rsidR="00C12DAA" w:rsidRDefault="00C12DAA">
      <w:r>
        <w:separator/>
      </w:r>
    </w:p>
  </w:footnote>
  <w:footnote w:type="continuationSeparator" w:id="0">
    <w:p w14:paraId="3D6D4D42" w14:textId="77777777" w:rsidR="00C12DAA" w:rsidRDefault="00C12DAA">
      <w:r>
        <w:continuationSeparator/>
      </w:r>
    </w:p>
  </w:footnote>
  <w:footnote w:type="continuationNotice" w:id="1">
    <w:p w14:paraId="3391714E" w14:textId="77777777" w:rsidR="00C12DAA" w:rsidRDefault="00C12DAA">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666456"/>
    <w:multiLevelType w:val="hybridMultilevel"/>
    <w:tmpl w:val="E3548F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344724B"/>
    <w:multiLevelType w:val="hybridMultilevel"/>
    <w:tmpl w:val="F4F869E2"/>
    <w:lvl w:ilvl="0" w:tplc="653AC3B8">
      <w:start w:val="1"/>
      <w:numFmt w:val="bullet"/>
      <w:lvlText w:val="•"/>
      <w:lvlJc w:val="left"/>
      <w:pPr>
        <w:tabs>
          <w:tab w:val="num" w:pos="720"/>
        </w:tabs>
        <w:ind w:left="720" w:hanging="360"/>
      </w:pPr>
      <w:rPr>
        <w:rFonts w:ascii="Arial" w:hAnsi="Arial" w:hint="default"/>
      </w:rPr>
    </w:lvl>
    <w:lvl w:ilvl="1" w:tplc="1E7E330E">
      <w:start w:val="7936"/>
      <w:numFmt w:val="bullet"/>
      <w:lvlText w:val="–"/>
      <w:lvlJc w:val="left"/>
      <w:pPr>
        <w:tabs>
          <w:tab w:val="num" w:pos="1440"/>
        </w:tabs>
        <w:ind w:left="1440" w:hanging="360"/>
      </w:pPr>
      <w:rPr>
        <w:rFonts w:ascii="Arial" w:hAnsi="Arial" w:hint="default"/>
      </w:rPr>
    </w:lvl>
    <w:lvl w:ilvl="2" w:tplc="FC1C56D2" w:tentative="1">
      <w:start w:val="1"/>
      <w:numFmt w:val="bullet"/>
      <w:lvlText w:val="•"/>
      <w:lvlJc w:val="left"/>
      <w:pPr>
        <w:tabs>
          <w:tab w:val="num" w:pos="2160"/>
        </w:tabs>
        <w:ind w:left="2160" w:hanging="360"/>
      </w:pPr>
      <w:rPr>
        <w:rFonts w:ascii="Arial" w:hAnsi="Arial" w:hint="default"/>
      </w:rPr>
    </w:lvl>
    <w:lvl w:ilvl="3" w:tplc="32901750" w:tentative="1">
      <w:start w:val="1"/>
      <w:numFmt w:val="bullet"/>
      <w:lvlText w:val="•"/>
      <w:lvlJc w:val="left"/>
      <w:pPr>
        <w:tabs>
          <w:tab w:val="num" w:pos="2880"/>
        </w:tabs>
        <w:ind w:left="2880" w:hanging="360"/>
      </w:pPr>
      <w:rPr>
        <w:rFonts w:ascii="Arial" w:hAnsi="Arial" w:hint="default"/>
      </w:rPr>
    </w:lvl>
    <w:lvl w:ilvl="4" w:tplc="D61A542C" w:tentative="1">
      <w:start w:val="1"/>
      <w:numFmt w:val="bullet"/>
      <w:lvlText w:val="•"/>
      <w:lvlJc w:val="left"/>
      <w:pPr>
        <w:tabs>
          <w:tab w:val="num" w:pos="3600"/>
        </w:tabs>
        <w:ind w:left="3600" w:hanging="360"/>
      </w:pPr>
      <w:rPr>
        <w:rFonts w:ascii="Arial" w:hAnsi="Arial" w:hint="default"/>
      </w:rPr>
    </w:lvl>
    <w:lvl w:ilvl="5" w:tplc="832464F4" w:tentative="1">
      <w:start w:val="1"/>
      <w:numFmt w:val="bullet"/>
      <w:lvlText w:val="•"/>
      <w:lvlJc w:val="left"/>
      <w:pPr>
        <w:tabs>
          <w:tab w:val="num" w:pos="4320"/>
        </w:tabs>
        <w:ind w:left="4320" w:hanging="360"/>
      </w:pPr>
      <w:rPr>
        <w:rFonts w:ascii="Arial" w:hAnsi="Arial" w:hint="default"/>
      </w:rPr>
    </w:lvl>
    <w:lvl w:ilvl="6" w:tplc="3CF6170C" w:tentative="1">
      <w:start w:val="1"/>
      <w:numFmt w:val="bullet"/>
      <w:lvlText w:val="•"/>
      <w:lvlJc w:val="left"/>
      <w:pPr>
        <w:tabs>
          <w:tab w:val="num" w:pos="5040"/>
        </w:tabs>
        <w:ind w:left="5040" w:hanging="360"/>
      </w:pPr>
      <w:rPr>
        <w:rFonts w:ascii="Arial" w:hAnsi="Arial" w:hint="default"/>
      </w:rPr>
    </w:lvl>
    <w:lvl w:ilvl="7" w:tplc="973A31FE" w:tentative="1">
      <w:start w:val="1"/>
      <w:numFmt w:val="bullet"/>
      <w:lvlText w:val="•"/>
      <w:lvlJc w:val="left"/>
      <w:pPr>
        <w:tabs>
          <w:tab w:val="num" w:pos="5760"/>
        </w:tabs>
        <w:ind w:left="5760" w:hanging="360"/>
      </w:pPr>
      <w:rPr>
        <w:rFonts w:ascii="Arial" w:hAnsi="Arial" w:hint="default"/>
      </w:rPr>
    </w:lvl>
    <w:lvl w:ilvl="8" w:tplc="66D6B114"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8223FD9"/>
    <w:multiLevelType w:val="hybridMultilevel"/>
    <w:tmpl w:val="4A10A75A"/>
    <w:lvl w:ilvl="0" w:tplc="040A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6" w15:restartNumberingAfterBreak="0">
    <w:nsid w:val="0B503B7A"/>
    <w:multiLevelType w:val="hybridMultilevel"/>
    <w:tmpl w:val="BD586678"/>
    <w:lvl w:ilvl="0" w:tplc="4C12E084">
      <w:start w:val="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CBF39AA"/>
    <w:multiLevelType w:val="hybridMultilevel"/>
    <w:tmpl w:val="BB72ABA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1576762"/>
    <w:multiLevelType w:val="hybridMultilevel"/>
    <w:tmpl w:val="E884CCBA"/>
    <w:lvl w:ilvl="0" w:tplc="2188DDE8">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32226ED"/>
    <w:multiLevelType w:val="hybridMultilevel"/>
    <w:tmpl w:val="F83EF10A"/>
    <w:lvl w:ilvl="0" w:tplc="040A0001">
      <w:start w:val="1"/>
      <w:numFmt w:val="bullet"/>
      <w:lvlText w:val=""/>
      <w:lvlJc w:val="left"/>
      <w:pPr>
        <w:ind w:left="768" w:hanging="360"/>
      </w:pPr>
      <w:rPr>
        <w:rFonts w:ascii="Symbol" w:hAnsi="Symbol" w:hint="default"/>
      </w:rPr>
    </w:lvl>
    <w:lvl w:ilvl="1" w:tplc="040A0003" w:tentative="1">
      <w:start w:val="1"/>
      <w:numFmt w:val="bullet"/>
      <w:lvlText w:val="o"/>
      <w:lvlJc w:val="left"/>
      <w:pPr>
        <w:ind w:left="1488" w:hanging="360"/>
      </w:pPr>
      <w:rPr>
        <w:rFonts w:ascii="Courier New" w:hAnsi="Courier New" w:cs="Courier New" w:hint="default"/>
      </w:rPr>
    </w:lvl>
    <w:lvl w:ilvl="2" w:tplc="040A0005" w:tentative="1">
      <w:start w:val="1"/>
      <w:numFmt w:val="bullet"/>
      <w:lvlText w:val=""/>
      <w:lvlJc w:val="left"/>
      <w:pPr>
        <w:ind w:left="2208" w:hanging="360"/>
      </w:pPr>
      <w:rPr>
        <w:rFonts w:ascii="Wingdings" w:hAnsi="Wingdings" w:hint="default"/>
      </w:rPr>
    </w:lvl>
    <w:lvl w:ilvl="3" w:tplc="040A0001" w:tentative="1">
      <w:start w:val="1"/>
      <w:numFmt w:val="bullet"/>
      <w:lvlText w:val=""/>
      <w:lvlJc w:val="left"/>
      <w:pPr>
        <w:ind w:left="2928" w:hanging="360"/>
      </w:pPr>
      <w:rPr>
        <w:rFonts w:ascii="Symbol" w:hAnsi="Symbol" w:hint="default"/>
      </w:rPr>
    </w:lvl>
    <w:lvl w:ilvl="4" w:tplc="040A0003" w:tentative="1">
      <w:start w:val="1"/>
      <w:numFmt w:val="bullet"/>
      <w:lvlText w:val="o"/>
      <w:lvlJc w:val="left"/>
      <w:pPr>
        <w:ind w:left="3648" w:hanging="360"/>
      </w:pPr>
      <w:rPr>
        <w:rFonts w:ascii="Courier New" w:hAnsi="Courier New" w:cs="Courier New" w:hint="default"/>
      </w:rPr>
    </w:lvl>
    <w:lvl w:ilvl="5" w:tplc="040A0005" w:tentative="1">
      <w:start w:val="1"/>
      <w:numFmt w:val="bullet"/>
      <w:lvlText w:val=""/>
      <w:lvlJc w:val="left"/>
      <w:pPr>
        <w:ind w:left="4368" w:hanging="360"/>
      </w:pPr>
      <w:rPr>
        <w:rFonts w:ascii="Wingdings" w:hAnsi="Wingdings" w:hint="default"/>
      </w:rPr>
    </w:lvl>
    <w:lvl w:ilvl="6" w:tplc="040A0001" w:tentative="1">
      <w:start w:val="1"/>
      <w:numFmt w:val="bullet"/>
      <w:lvlText w:val=""/>
      <w:lvlJc w:val="left"/>
      <w:pPr>
        <w:ind w:left="5088" w:hanging="360"/>
      </w:pPr>
      <w:rPr>
        <w:rFonts w:ascii="Symbol" w:hAnsi="Symbol" w:hint="default"/>
      </w:rPr>
    </w:lvl>
    <w:lvl w:ilvl="7" w:tplc="040A0003" w:tentative="1">
      <w:start w:val="1"/>
      <w:numFmt w:val="bullet"/>
      <w:lvlText w:val="o"/>
      <w:lvlJc w:val="left"/>
      <w:pPr>
        <w:ind w:left="5808" w:hanging="360"/>
      </w:pPr>
      <w:rPr>
        <w:rFonts w:ascii="Courier New" w:hAnsi="Courier New" w:cs="Courier New" w:hint="default"/>
      </w:rPr>
    </w:lvl>
    <w:lvl w:ilvl="8" w:tplc="040A0005" w:tentative="1">
      <w:start w:val="1"/>
      <w:numFmt w:val="bullet"/>
      <w:lvlText w:val=""/>
      <w:lvlJc w:val="left"/>
      <w:pPr>
        <w:ind w:left="6528" w:hanging="360"/>
      </w:pPr>
      <w:rPr>
        <w:rFonts w:ascii="Wingdings" w:hAnsi="Wingdings" w:hint="default"/>
      </w:rPr>
    </w:lvl>
  </w:abstractNum>
  <w:abstractNum w:abstractNumId="10" w15:restartNumberingAfterBreak="0">
    <w:nsid w:val="18AF1A27"/>
    <w:multiLevelType w:val="hybridMultilevel"/>
    <w:tmpl w:val="2024832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18DB2C5A"/>
    <w:multiLevelType w:val="hybridMultilevel"/>
    <w:tmpl w:val="87649F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C2739AE"/>
    <w:multiLevelType w:val="hybridMultilevel"/>
    <w:tmpl w:val="EC70407A"/>
    <w:lvl w:ilvl="0" w:tplc="04090001">
      <w:start w:val="1"/>
      <w:numFmt w:val="bullet"/>
      <w:lvlText w:val=""/>
      <w:lvlJc w:val="left"/>
      <w:pPr>
        <w:ind w:left="720" w:hanging="360"/>
      </w:pPr>
      <w:rPr>
        <w:rFonts w:ascii="Symbol" w:hAnsi="Symbo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3" w15:restartNumberingAfterBreak="0">
    <w:nsid w:val="1F54137F"/>
    <w:multiLevelType w:val="hybridMultilevel"/>
    <w:tmpl w:val="FE361CB8"/>
    <w:lvl w:ilvl="0" w:tplc="76589800">
      <w:start w:val="8"/>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14" w15:restartNumberingAfterBreak="0">
    <w:nsid w:val="23A538C6"/>
    <w:multiLevelType w:val="hybridMultilevel"/>
    <w:tmpl w:val="BB72ABA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4226F28"/>
    <w:multiLevelType w:val="hybridMultilevel"/>
    <w:tmpl w:val="51CA03AE"/>
    <w:lvl w:ilvl="0" w:tplc="3CDAE568">
      <w:start w:val="3"/>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8DD4DEE"/>
    <w:multiLevelType w:val="hybridMultilevel"/>
    <w:tmpl w:val="BB72ABA4"/>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CB262B9"/>
    <w:multiLevelType w:val="hybridMultilevel"/>
    <w:tmpl w:val="2876AC88"/>
    <w:lvl w:ilvl="0" w:tplc="040A0001">
      <w:start w:val="1"/>
      <w:numFmt w:val="bullet"/>
      <w:lvlText w:val=""/>
      <w:lvlJc w:val="left"/>
      <w:pPr>
        <w:ind w:left="768" w:hanging="360"/>
      </w:pPr>
      <w:rPr>
        <w:rFonts w:ascii="Symbol" w:hAnsi="Symbol" w:hint="default"/>
      </w:rPr>
    </w:lvl>
    <w:lvl w:ilvl="1" w:tplc="040A0003" w:tentative="1">
      <w:start w:val="1"/>
      <w:numFmt w:val="bullet"/>
      <w:lvlText w:val="o"/>
      <w:lvlJc w:val="left"/>
      <w:pPr>
        <w:ind w:left="1488" w:hanging="360"/>
      </w:pPr>
      <w:rPr>
        <w:rFonts w:ascii="Courier New" w:hAnsi="Courier New" w:cs="Courier New" w:hint="default"/>
      </w:rPr>
    </w:lvl>
    <w:lvl w:ilvl="2" w:tplc="040A0005" w:tentative="1">
      <w:start w:val="1"/>
      <w:numFmt w:val="bullet"/>
      <w:lvlText w:val=""/>
      <w:lvlJc w:val="left"/>
      <w:pPr>
        <w:ind w:left="2208" w:hanging="360"/>
      </w:pPr>
      <w:rPr>
        <w:rFonts w:ascii="Wingdings" w:hAnsi="Wingdings" w:hint="default"/>
      </w:rPr>
    </w:lvl>
    <w:lvl w:ilvl="3" w:tplc="040A0001" w:tentative="1">
      <w:start w:val="1"/>
      <w:numFmt w:val="bullet"/>
      <w:lvlText w:val=""/>
      <w:lvlJc w:val="left"/>
      <w:pPr>
        <w:ind w:left="2928" w:hanging="360"/>
      </w:pPr>
      <w:rPr>
        <w:rFonts w:ascii="Symbol" w:hAnsi="Symbol" w:hint="default"/>
      </w:rPr>
    </w:lvl>
    <w:lvl w:ilvl="4" w:tplc="040A0003" w:tentative="1">
      <w:start w:val="1"/>
      <w:numFmt w:val="bullet"/>
      <w:lvlText w:val="o"/>
      <w:lvlJc w:val="left"/>
      <w:pPr>
        <w:ind w:left="3648" w:hanging="360"/>
      </w:pPr>
      <w:rPr>
        <w:rFonts w:ascii="Courier New" w:hAnsi="Courier New" w:cs="Courier New" w:hint="default"/>
      </w:rPr>
    </w:lvl>
    <w:lvl w:ilvl="5" w:tplc="040A0005" w:tentative="1">
      <w:start w:val="1"/>
      <w:numFmt w:val="bullet"/>
      <w:lvlText w:val=""/>
      <w:lvlJc w:val="left"/>
      <w:pPr>
        <w:ind w:left="4368" w:hanging="360"/>
      </w:pPr>
      <w:rPr>
        <w:rFonts w:ascii="Wingdings" w:hAnsi="Wingdings" w:hint="default"/>
      </w:rPr>
    </w:lvl>
    <w:lvl w:ilvl="6" w:tplc="040A0001" w:tentative="1">
      <w:start w:val="1"/>
      <w:numFmt w:val="bullet"/>
      <w:lvlText w:val=""/>
      <w:lvlJc w:val="left"/>
      <w:pPr>
        <w:ind w:left="5088" w:hanging="360"/>
      </w:pPr>
      <w:rPr>
        <w:rFonts w:ascii="Symbol" w:hAnsi="Symbol" w:hint="default"/>
      </w:rPr>
    </w:lvl>
    <w:lvl w:ilvl="7" w:tplc="040A0003" w:tentative="1">
      <w:start w:val="1"/>
      <w:numFmt w:val="bullet"/>
      <w:lvlText w:val="o"/>
      <w:lvlJc w:val="left"/>
      <w:pPr>
        <w:ind w:left="5808" w:hanging="360"/>
      </w:pPr>
      <w:rPr>
        <w:rFonts w:ascii="Courier New" w:hAnsi="Courier New" w:cs="Courier New" w:hint="default"/>
      </w:rPr>
    </w:lvl>
    <w:lvl w:ilvl="8" w:tplc="040A0005" w:tentative="1">
      <w:start w:val="1"/>
      <w:numFmt w:val="bullet"/>
      <w:lvlText w:val=""/>
      <w:lvlJc w:val="left"/>
      <w:pPr>
        <w:ind w:left="6528" w:hanging="360"/>
      </w:pPr>
      <w:rPr>
        <w:rFonts w:ascii="Wingdings" w:hAnsi="Wingdings" w:hint="default"/>
      </w:rPr>
    </w:lvl>
  </w:abstractNum>
  <w:abstractNum w:abstractNumId="18" w15:restartNumberingAfterBreak="0">
    <w:nsid w:val="2FB90FE0"/>
    <w:multiLevelType w:val="hybridMultilevel"/>
    <w:tmpl w:val="7042F844"/>
    <w:lvl w:ilvl="0" w:tplc="4C12E084">
      <w:start w:val="1"/>
      <w:numFmt w:val="bullet"/>
      <w:lvlText w:val="-"/>
      <w:lvlJc w:val="left"/>
      <w:pPr>
        <w:ind w:left="928" w:hanging="360"/>
      </w:pPr>
      <w:rPr>
        <w:rFonts w:ascii="Times New Roman" w:eastAsia="Times New Roman"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9" w15:restartNumberingAfterBreak="0">
    <w:nsid w:val="303F0E4B"/>
    <w:multiLevelType w:val="hybridMultilevel"/>
    <w:tmpl w:val="EF7043DC"/>
    <w:lvl w:ilvl="0" w:tplc="4C12E084">
      <w:start w:val="1"/>
      <w:numFmt w:val="bullet"/>
      <w:lvlText w:val="-"/>
      <w:lvlJc w:val="left"/>
      <w:pPr>
        <w:ind w:left="928"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30DB7C52"/>
    <w:multiLevelType w:val="hybridMultilevel"/>
    <w:tmpl w:val="6EDAFBBE"/>
    <w:lvl w:ilvl="0" w:tplc="9E906C0E">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1F66644"/>
    <w:multiLevelType w:val="hybridMultilevel"/>
    <w:tmpl w:val="AB7E9A0C"/>
    <w:lvl w:ilvl="0" w:tplc="08CA9708">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36AD45B2"/>
    <w:multiLevelType w:val="hybridMultilevel"/>
    <w:tmpl w:val="C27EDD4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BB310CA"/>
    <w:multiLevelType w:val="hybridMultilevel"/>
    <w:tmpl w:val="E91C9C38"/>
    <w:lvl w:ilvl="0" w:tplc="F9B2D41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52926202"/>
    <w:multiLevelType w:val="hybridMultilevel"/>
    <w:tmpl w:val="7AAEF1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6" w15:restartNumberingAfterBreak="0">
    <w:nsid w:val="53551B73"/>
    <w:multiLevelType w:val="hybridMultilevel"/>
    <w:tmpl w:val="94AAE54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 w15:restartNumberingAfterBreak="0">
    <w:nsid w:val="5CCE2026"/>
    <w:multiLevelType w:val="hybridMultilevel"/>
    <w:tmpl w:val="5CDCE522"/>
    <w:lvl w:ilvl="0" w:tplc="4D30C1E0">
      <w:start w:val="8"/>
      <w:numFmt w:val="bullet"/>
      <w:lvlText w:val="-"/>
      <w:lvlJc w:val="left"/>
      <w:pPr>
        <w:ind w:left="645" w:hanging="360"/>
      </w:pPr>
      <w:rPr>
        <w:rFonts w:ascii="Times New Roman" w:eastAsia="Malgun Gothic"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28" w15:restartNumberingAfterBreak="0">
    <w:nsid w:val="62842577"/>
    <w:multiLevelType w:val="hybridMultilevel"/>
    <w:tmpl w:val="4EF8D1B0"/>
    <w:lvl w:ilvl="0" w:tplc="E14E00A0">
      <w:start w:val="1"/>
      <w:numFmt w:val="bullet"/>
      <w:pStyle w:val="ListParagraph"/>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4490F04"/>
    <w:multiLevelType w:val="hybridMultilevel"/>
    <w:tmpl w:val="8946BA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6E76B8C"/>
    <w:multiLevelType w:val="hybridMultilevel"/>
    <w:tmpl w:val="E3548FC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C0F41E5"/>
    <w:multiLevelType w:val="hybridMultilevel"/>
    <w:tmpl w:val="75ACDCBA"/>
    <w:lvl w:ilvl="0" w:tplc="8332BD36">
      <w:start w:val="1"/>
      <w:numFmt w:val="lowerLetter"/>
      <w:lvlText w:val="(%1)"/>
      <w:lvlJc w:val="left"/>
      <w:pPr>
        <w:ind w:left="4336" w:hanging="360"/>
      </w:pPr>
      <w:rPr>
        <w:rFonts w:hint="default"/>
      </w:rPr>
    </w:lvl>
    <w:lvl w:ilvl="1" w:tplc="04090019" w:tentative="1">
      <w:start w:val="1"/>
      <w:numFmt w:val="lowerLetter"/>
      <w:lvlText w:val="%2."/>
      <w:lvlJc w:val="left"/>
      <w:pPr>
        <w:ind w:left="5056" w:hanging="360"/>
      </w:pPr>
    </w:lvl>
    <w:lvl w:ilvl="2" w:tplc="0409001B" w:tentative="1">
      <w:start w:val="1"/>
      <w:numFmt w:val="lowerRoman"/>
      <w:lvlText w:val="%3."/>
      <w:lvlJc w:val="right"/>
      <w:pPr>
        <w:ind w:left="5776" w:hanging="180"/>
      </w:pPr>
    </w:lvl>
    <w:lvl w:ilvl="3" w:tplc="0409000F" w:tentative="1">
      <w:start w:val="1"/>
      <w:numFmt w:val="decimal"/>
      <w:lvlText w:val="%4."/>
      <w:lvlJc w:val="left"/>
      <w:pPr>
        <w:ind w:left="6496" w:hanging="360"/>
      </w:pPr>
    </w:lvl>
    <w:lvl w:ilvl="4" w:tplc="04090019" w:tentative="1">
      <w:start w:val="1"/>
      <w:numFmt w:val="lowerLetter"/>
      <w:lvlText w:val="%5."/>
      <w:lvlJc w:val="left"/>
      <w:pPr>
        <w:ind w:left="7216" w:hanging="360"/>
      </w:pPr>
    </w:lvl>
    <w:lvl w:ilvl="5" w:tplc="0409001B" w:tentative="1">
      <w:start w:val="1"/>
      <w:numFmt w:val="lowerRoman"/>
      <w:lvlText w:val="%6."/>
      <w:lvlJc w:val="right"/>
      <w:pPr>
        <w:ind w:left="7936" w:hanging="180"/>
      </w:pPr>
    </w:lvl>
    <w:lvl w:ilvl="6" w:tplc="0409000F" w:tentative="1">
      <w:start w:val="1"/>
      <w:numFmt w:val="decimal"/>
      <w:lvlText w:val="%7."/>
      <w:lvlJc w:val="left"/>
      <w:pPr>
        <w:ind w:left="8656" w:hanging="360"/>
      </w:pPr>
    </w:lvl>
    <w:lvl w:ilvl="7" w:tplc="04090019" w:tentative="1">
      <w:start w:val="1"/>
      <w:numFmt w:val="lowerLetter"/>
      <w:lvlText w:val="%8."/>
      <w:lvlJc w:val="left"/>
      <w:pPr>
        <w:ind w:left="9376" w:hanging="360"/>
      </w:pPr>
    </w:lvl>
    <w:lvl w:ilvl="8" w:tplc="0409001B" w:tentative="1">
      <w:start w:val="1"/>
      <w:numFmt w:val="lowerRoman"/>
      <w:lvlText w:val="%9."/>
      <w:lvlJc w:val="right"/>
      <w:pPr>
        <w:ind w:left="10096" w:hanging="180"/>
      </w:pPr>
    </w:lvl>
  </w:abstractNum>
  <w:abstractNum w:abstractNumId="32"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576"/>
        </w:tabs>
        <w:ind w:left="57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3" w15:restartNumberingAfterBreak="0">
    <w:nsid w:val="73E01D70"/>
    <w:multiLevelType w:val="hybridMultilevel"/>
    <w:tmpl w:val="0B5E9126"/>
    <w:lvl w:ilvl="0" w:tplc="040A0001">
      <w:start w:val="1"/>
      <w:numFmt w:val="bullet"/>
      <w:lvlText w:val=""/>
      <w:lvlJc w:val="left"/>
      <w:pPr>
        <w:ind w:left="768" w:hanging="360"/>
      </w:pPr>
      <w:rPr>
        <w:rFonts w:ascii="Symbol" w:hAnsi="Symbol" w:hint="default"/>
      </w:rPr>
    </w:lvl>
    <w:lvl w:ilvl="1" w:tplc="040A0003" w:tentative="1">
      <w:start w:val="1"/>
      <w:numFmt w:val="bullet"/>
      <w:lvlText w:val="o"/>
      <w:lvlJc w:val="left"/>
      <w:pPr>
        <w:ind w:left="1488" w:hanging="360"/>
      </w:pPr>
      <w:rPr>
        <w:rFonts w:ascii="Courier New" w:hAnsi="Courier New" w:cs="Courier New" w:hint="default"/>
      </w:rPr>
    </w:lvl>
    <w:lvl w:ilvl="2" w:tplc="040A0005" w:tentative="1">
      <w:start w:val="1"/>
      <w:numFmt w:val="bullet"/>
      <w:lvlText w:val=""/>
      <w:lvlJc w:val="left"/>
      <w:pPr>
        <w:ind w:left="2208" w:hanging="360"/>
      </w:pPr>
      <w:rPr>
        <w:rFonts w:ascii="Wingdings" w:hAnsi="Wingdings" w:hint="default"/>
      </w:rPr>
    </w:lvl>
    <w:lvl w:ilvl="3" w:tplc="040A0001" w:tentative="1">
      <w:start w:val="1"/>
      <w:numFmt w:val="bullet"/>
      <w:lvlText w:val=""/>
      <w:lvlJc w:val="left"/>
      <w:pPr>
        <w:ind w:left="2928" w:hanging="360"/>
      </w:pPr>
      <w:rPr>
        <w:rFonts w:ascii="Symbol" w:hAnsi="Symbol" w:hint="default"/>
      </w:rPr>
    </w:lvl>
    <w:lvl w:ilvl="4" w:tplc="040A0003" w:tentative="1">
      <w:start w:val="1"/>
      <w:numFmt w:val="bullet"/>
      <w:lvlText w:val="o"/>
      <w:lvlJc w:val="left"/>
      <w:pPr>
        <w:ind w:left="3648" w:hanging="360"/>
      </w:pPr>
      <w:rPr>
        <w:rFonts w:ascii="Courier New" w:hAnsi="Courier New" w:cs="Courier New" w:hint="default"/>
      </w:rPr>
    </w:lvl>
    <w:lvl w:ilvl="5" w:tplc="040A0005" w:tentative="1">
      <w:start w:val="1"/>
      <w:numFmt w:val="bullet"/>
      <w:lvlText w:val=""/>
      <w:lvlJc w:val="left"/>
      <w:pPr>
        <w:ind w:left="4368" w:hanging="360"/>
      </w:pPr>
      <w:rPr>
        <w:rFonts w:ascii="Wingdings" w:hAnsi="Wingdings" w:hint="default"/>
      </w:rPr>
    </w:lvl>
    <w:lvl w:ilvl="6" w:tplc="040A0001" w:tentative="1">
      <w:start w:val="1"/>
      <w:numFmt w:val="bullet"/>
      <w:lvlText w:val=""/>
      <w:lvlJc w:val="left"/>
      <w:pPr>
        <w:ind w:left="5088" w:hanging="360"/>
      </w:pPr>
      <w:rPr>
        <w:rFonts w:ascii="Symbol" w:hAnsi="Symbol" w:hint="default"/>
      </w:rPr>
    </w:lvl>
    <w:lvl w:ilvl="7" w:tplc="040A0003" w:tentative="1">
      <w:start w:val="1"/>
      <w:numFmt w:val="bullet"/>
      <w:lvlText w:val="o"/>
      <w:lvlJc w:val="left"/>
      <w:pPr>
        <w:ind w:left="5808" w:hanging="360"/>
      </w:pPr>
      <w:rPr>
        <w:rFonts w:ascii="Courier New" w:hAnsi="Courier New" w:cs="Courier New" w:hint="default"/>
      </w:rPr>
    </w:lvl>
    <w:lvl w:ilvl="8" w:tplc="040A0005" w:tentative="1">
      <w:start w:val="1"/>
      <w:numFmt w:val="bullet"/>
      <w:lvlText w:val=""/>
      <w:lvlJc w:val="left"/>
      <w:pPr>
        <w:ind w:left="6528" w:hanging="360"/>
      </w:pPr>
      <w:rPr>
        <w:rFonts w:ascii="Wingdings" w:hAnsi="Wingdings" w:hint="default"/>
      </w:rPr>
    </w:lvl>
  </w:abstractNum>
  <w:abstractNum w:abstractNumId="34" w15:restartNumberingAfterBreak="0">
    <w:nsid w:val="78122396"/>
    <w:multiLevelType w:val="hybridMultilevel"/>
    <w:tmpl w:val="CEA070A2"/>
    <w:lvl w:ilvl="0" w:tplc="04090001">
      <w:start w:val="1"/>
      <w:numFmt w:val="bullet"/>
      <w:lvlText w:val=""/>
      <w:lvlJc w:val="left"/>
      <w:pPr>
        <w:ind w:left="768" w:hanging="360"/>
      </w:pPr>
      <w:rPr>
        <w:rFonts w:ascii="Symbol" w:hAnsi="Symbol" w:hint="default"/>
      </w:rPr>
    </w:lvl>
    <w:lvl w:ilvl="1" w:tplc="04090003" w:tentative="1">
      <w:start w:val="1"/>
      <w:numFmt w:val="bullet"/>
      <w:lvlText w:val="o"/>
      <w:lvlJc w:val="left"/>
      <w:pPr>
        <w:ind w:left="1488" w:hanging="360"/>
      </w:pPr>
      <w:rPr>
        <w:rFonts w:ascii="Courier New" w:hAnsi="Courier New" w:cs="Courier New" w:hint="default"/>
      </w:rPr>
    </w:lvl>
    <w:lvl w:ilvl="2" w:tplc="04090005" w:tentative="1">
      <w:start w:val="1"/>
      <w:numFmt w:val="bullet"/>
      <w:lvlText w:val=""/>
      <w:lvlJc w:val="left"/>
      <w:pPr>
        <w:ind w:left="2208" w:hanging="360"/>
      </w:pPr>
      <w:rPr>
        <w:rFonts w:ascii="Wingdings" w:hAnsi="Wingdings" w:hint="default"/>
      </w:rPr>
    </w:lvl>
    <w:lvl w:ilvl="3" w:tplc="04090001" w:tentative="1">
      <w:start w:val="1"/>
      <w:numFmt w:val="bullet"/>
      <w:lvlText w:val=""/>
      <w:lvlJc w:val="left"/>
      <w:pPr>
        <w:ind w:left="2928" w:hanging="360"/>
      </w:pPr>
      <w:rPr>
        <w:rFonts w:ascii="Symbol" w:hAnsi="Symbol" w:hint="default"/>
      </w:rPr>
    </w:lvl>
    <w:lvl w:ilvl="4" w:tplc="04090003" w:tentative="1">
      <w:start w:val="1"/>
      <w:numFmt w:val="bullet"/>
      <w:lvlText w:val="o"/>
      <w:lvlJc w:val="left"/>
      <w:pPr>
        <w:ind w:left="3648" w:hanging="360"/>
      </w:pPr>
      <w:rPr>
        <w:rFonts w:ascii="Courier New" w:hAnsi="Courier New" w:cs="Courier New" w:hint="default"/>
      </w:rPr>
    </w:lvl>
    <w:lvl w:ilvl="5" w:tplc="04090005" w:tentative="1">
      <w:start w:val="1"/>
      <w:numFmt w:val="bullet"/>
      <w:lvlText w:val=""/>
      <w:lvlJc w:val="left"/>
      <w:pPr>
        <w:ind w:left="4368" w:hanging="360"/>
      </w:pPr>
      <w:rPr>
        <w:rFonts w:ascii="Wingdings" w:hAnsi="Wingdings" w:hint="default"/>
      </w:rPr>
    </w:lvl>
    <w:lvl w:ilvl="6" w:tplc="04090001" w:tentative="1">
      <w:start w:val="1"/>
      <w:numFmt w:val="bullet"/>
      <w:lvlText w:val=""/>
      <w:lvlJc w:val="left"/>
      <w:pPr>
        <w:ind w:left="5088" w:hanging="360"/>
      </w:pPr>
      <w:rPr>
        <w:rFonts w:ascii="Symbol" w:hAnsi="Symbol" w:hint="default"/>
      </w:rPr>
    </w:lvl>
    <w:lvl w:ilvl="7" w:tplc="04090003" w:tentative="1">
      <w:start w:val="1"/>
      <w:numFmt w:val="bullet"/>
      <w:lvlText w:val="o"/>
      <w:lvlJc w:val="left"/>
      <w:pPr>
        <w:ind w:left="5808" w:hanging="360"/>
      </w:pPr>
      <w:rPr>
        <w:rFonts w:ascii="Courier New" w:hAnsi="Courier New" w:cs="Courier New" w:hint="default"/>
      </w:rPr>
    </w:lvl>
    <w:lvl w:ilvl="8" w:tplc="04090005" w:tentative="1">
      <w:start w:val="1"/>
      <w:numFmt w:val="bullet"/>
      <w:lvlText w:val=""/>
      <w:lvlJc w:val="left"/>
      <w:pPr>
        <w:ind w:left="6528" w:hanging="360"/>
      </w:pPr>
      <w:rPr>
        <w:rFonts w:ascii="Wingdings" w:hAnsi="Wingdings" w:hint="default"/>
      </w:rPr>
    </w:lvl>
  </w:abstractNum>
  <w:abstractNum w:abstractNumId="35" w15:restartNumberingAfterBreak="0">
    <w:nsid w:val="78564103"/>
    <w:multiLevelType w:val="hybridMultilevel"/>
    <w:tmpl w:val="512805AC"/>
    <w:lvl w:ilvl="0" w:tplc="1DDAA902">
      <w:start w:val="8"/>
      <w:numFmt w:val="bullet"/>
      <w:lvlText w:val="-"/>
      <w:lvlJc w:val="left"/>
      <w:pPr>
        <w:ind w:left="720" w:hanging="360"/>
      </w:pPr>
      <w:rPr>
        <w:rFonts w:ascii="Times New Roman" w:eastAsia="Malgun Gothic" w:hAnsi="Times New Roman" w:cs="Times New Roman"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6" w15:restartNumberingAfterBreak="0">
    <w:nsid w:val="785812A9"/>
    <w:multiLevelType w:val="hybridMultilevel"/>
    <w:tmpl w:val="633EA80C"/>
    <w:lvl w:ilvl="0" w:tplc="C874C154">
      <w:start w:val="11"/>
      <w:numFmt w:val="bullet"/>
      <w:lvlText w:val="-"/>
      <w:lvlJc w:val="left"/>
      <w:pPr>
        <w:ind w:left="928" w:hanging="360"/>
      </w:pPr>
      <w:rPr>
        <w:rFonts w:ascii="Times New Roman" w:eastAsia="Malgun Gothic" w:hAnsi="Times New Roman" w:cs="Times New Roman" w:hint="default"/>
      </w:rPr>
    </w:lvl>
    <w:lvl w:ilvl="1" w:tplc="040A0003" w:tentative="1">
      <w:start w:val="1"/>
      <w:numFmt w:val="bullet"/>
      <w:lvlText w:val="o"/>
      <w:lvlJc w:val="left"/>
      <w:pPr>
        <w:ind w:left="1648" w:hanging="360"/>
      </w:pPr>
      <w:rPr>
        <w:rFonts w:ascii="Courier New" w:hAnsi="Courier New" w:cs="Courier New" w:hint="default"/>
      </w:rPr>
    </w:lvl>
    <w:lvl w:ilvl="2" w:tplc="040A0005" w:tentative="1">
      <w:start w:val="1"/>
      <w:numFmt w:val="bullet"/>
      <w:lvlText w:val=""/>
      <w:lvlJc w:val="left"/>
      <w:pPr>
        <w:ind w:left="2368" w:hanging="360"/>
      </w:pPr>
      <w:rPr>
        <w:rFonts w:ascii="Wingdings" w:hAnsi="Wingdings" w:hint="default"/>
      </w:rPr>
    </w:lvl>
    <w:lvl w:ilvl="3" w:tplc="040A0001" w:tentative="1">
      <w:start w:val="1"/>
      <w:numFmt w:val="bullet"/>
      <w:lvlText w:val=""/>
      <w:lvlJc w:val="left"/>
      <w:pPr>
        <w:ind w:left="3088" w:hanging="360"/>
      </w:pPr>
      <w:rPr>
        <w:rFonts w:ascii="Symbol" w:hAnsi="Symbol" w:hint="default"/>
      </w:rPr>
    </w:lvl>
    <w:lvl w:ilvl="4" w:tplc="040A0003" w:tentative="1">
      <w:start w:val="1"/>
      <w:numFmt w:val="bullet"/>
      <w:lvlText w:val="o"/>
      <w:lvlJc w:val="left"/>
      <w:pPr>
        <w:ind w:left="3808" w:hanging="360"/>
      </w:pPr>
      <w:rPr>
        <w:rFonts w:ascii="Courier New" w:hAnsi="Courier New" w:cs="Courier New" w:hint="default"/>
      </w:rPr>
    </w:lvl>
    <w:lvl w:ilvl="5" w:tplc="040A0005" w:tentative="1">
      <w:start w:val="1"/>
      <w:numFmt w:val="bullet"/>
      <w:lvlText w:val=""/>
      <w:lvlJc w:val="left"/>
      <w:pPr>
        <w:ind w:left="4528" w:hanging="360"/>
      </w:pPr>
      <w:rPr>
        <w:rFonts w:ascii="Wingdings" w:hAnsi="Wingdings" w:hint="default"/>
      </w:rPr>
    </w:lvl>
    <w:lvl w:ilvl="6" w:tplc="040A0001" w:tentative="1">
      <w:start w:val="1"/>
      <w:numFmt w:val="bullet"/>
      <w:lvlText w:val=""/>
      <w:lvlJc w:val="left"/>
      <w:pPr>
        <w:ind w:left="5248" w:hanging="360"/>
      </w:pPr>
      <w:rPr>
        <w:rFonts w:ascii="Symbol" w:hAnsi="Symbol" w:hint="default"/>
      </w:rPr>
    </w:lvl>
    <w:lvl w:ilvl="7" w:tplc="040A0003" w:tentative="1">
      <w:start w:val="1"/>
      <w:numFmt w:val="bullet"/>
      <w:lvlText w:val="o"/>
      <w:lvlJc w:val="left"/>
      <w:pPr>
        <w:ind w:left="5968" w:hanging="360"/>
      </w:pPr>
      <w:rPr>
        <w:rFonts w:ascii="Courier New" w:hAnsi="Courier New" w:cs="Courier New" w:hint="default"/>
      </w:rPr>
    </w:lvl>
    <w:lvl w:ilvl="8" w:tplc="040A0005" w:tentative="1">
      <w:start w:val="1"/>
      <w:numFmt w:val="bullet"/>
      <w:lvlText w:val=""/>
      <w:lvlJc w:val="left"/>
      <w:pPr>
        <w:ind w:left="6688" w:hanging="360"/>
      </w:pPr>
      <w:rPr>
        <w:rFonts w:ascii="Wingdings" w:hAnsi="Wingdings" w:hint="default"/>
      </w:rPr>
    </w:lvl>
  </w:abstractNum>
  <w:abstractNum w:abstractNumId="37" w15:restartNumberingAfterBreak="0">
    <w:nsid w:val="797B2CDA"/>
    <w:multiLevelType w:val="hybridMultilevel"/>
    <w:tmpl w:val="CC30DB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A4E6228"/>
    <w:multiLevelType w:val="hybridMultilevel"/>
    <w:tmpl w:val="B84E15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36"/>
  </w:num>
  <w:num w:numId="5">
    <w:abstractNumId w:val="2"/>
  </w:num>
  <w:num w:numId="6">
    <w:abstractNumId w:val="18"/>
  </w:num>
  <w:num w:numId="7">
    <w:abstractNumId w:val="15"/>
  </w:num>
  <w:num w:numId="8">
    <w:abstractNumId w:val="10"/>
  </w:num>
  <w:num w:numId="9">
    <w:abstractNumId w:val="23"/>
  </w:num>
  <w:num w:numId="10">
    <w:abstractNumId w:val="6"/>
  </w:num>
  <w:num w:numId="11">
    <w:abstractNumId w:val="29"/>
  </w:num>
  <w:num w:numId="12">
    <w:abstractNumId w:val="13"/>
  </w:num>
  <w:num w:numId="13">
    <w:abstractNumId w:val="27"/>
  </w:num>
  <w:num w:numId="14">
    <w:abstractNumId w:val="35"/>
  </w:num>
  <w:num w:numId="15">
    <w:abstractNumId w:val="12"/>
  </w:num>
  <w:num w:numId="16">
    <w:abstractNumId w:val="33"/>
  </w:num>
  <w:num w:numId="17">
    <w:abstractNumId w:val="9"/>
  </w:num>
  <w:num w:numId="18">
    <w:abstractNumId w:val="25"/>
  </w:num>
  <w:num w:numId="19">
    <w:abstractNumId w:val="21"/>
  </w:num>
  <w:num w:numId="20">
    <w:abstractNumId w:val="26"/>
  </w:num>
  <w:num w:numId="21">
    <w:abstractNumId w:val="32"/>
  </w:num>
  <w:num w:numId="22">
    <w:abstractNumId w:val="24"/>
  </w:num>
  <w:num w:numId="23">
    <w:abstractNumId w:val="22"/>
  </w:num>
  <w:num w:numId="24">
    <w:abstractNumId w:val="11"/>
  </w:num>
  <w:num w:numId="25">
    <w:abstractNumId w:val="5"/>
  </w:num>
  <w:num w:numId="26">
    <w:abstractNumId w:val="25"/>
  </w:num>
  <w:num w:numId="27">
    <w:abstractNumId w:val="25"/>
  </w:num>
  <w:num w:numId="28">
    <w:abstractNumId w:val="25"/>
  </w:num>
  <w:num w:numId="29">
    <w:abstractNumId w:val="19"/>
  </w:num>
  <w:num w:numId="30">
    <w:abstractNumId w:val="17"/>
  </w:num>
  <w:num w:numId="31">
    <w:abstractNumId w:val="38"/>
  </w:num>
  <w:num w:numId="32">
    <w:abstractNumId w:val="31"/>
  </w:num>
  <w:num w:numId="33">
    <w:abstractNumId w:val="37"/>
  </w:num>
  <w:num w:numId="34">
    <w:abstractNumId w:val="16"/>
  </w:num>
  <w:num w:numId="35">
    <w:abstractNumId w:val="7"/>
  </w:num>
  <w:num w:numId="36">
    <w:abstractNumId w:val="1"/>
  </w:num>
  <w:num w:numId="37">
    <w:abstractNumId w:val="30"/>
  </w:num>
  <w:num w:numId="38">
    <w:abstractNumId w:val="14"/>
  </w:num>
  <w:num w:numId="39">
    <w:abstractNumId w:val="28"/>
  </w:num>
  <w:num w:numId="40">
    <w:abstractNumId w:val="34"/>
  </w:num>
  <w:num w:numId="41">
    <w:abstractNumId w:val="20"/>
  </w:num>
  <w:num w:numId="42">
    <w:abstractNumId w:val="28"/>
  </w:num>
  <w:num w:numId="43">
    <w:abstractNumId w:val="4"/>
  </w:num>
  <w:num w:numId="44">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70"/>
  <w:removeDateAndTime/>
  <w:printFractionalCharacterWidth/>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5057"/>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6800"/>
    <w:rsid w:val="000078E2"/>
    <w:rsid w:val="00011F6E"/>
    <w:rsid w:val="000136CE"/>
    <w:rsid w:val="00015E33"/>
    <w:rsid w:val="00017A04"/>
    <w:rsid w:val="00017C05"/>
    <w:rsid w:val="000200FB"/>
    <w:rsid w:val="0002191D"/>
    <w:rsid w:val="000262D5"/>
    <w:rsid w:val="000266A0"/>
    <w:rsid w:val="00026A7D"/>
    <w:rsid w:val="00031C1D"/>
    <w:rsid w:val="00032F36"/>
    <w:rsid w:val="00036AF0"/>
    <w:rsid w:val="000379D6"/>
    <w:rsid w:val="000439E6"/>
    <w:rsid w:val="0004477C"/>
    <w:rsid w:val="0004678D"/>
    <w:rsid w:val="00052390"/>
    <w:rsid w:val="000547AB"/>
    <w:rsid w:val="0005509D"/>
    <w:rsid w:val="00055873"/>
    <w:rsid w:val="00056560"/>
    <w:rsid w:val="0005725C"/>
    <w:rsid w:val="000606FD"/>
    <w:rsid w:val="00062092"/>
    <w:rsid w:val="00062E1E"/>
    <w:rsid w:val="00064500"/>
    <w:rsid w:val="00077333"/>
    <w:rsid w:val="00082566"/>
    <w:rsid w:val="00083540"/>
    <w:rsid w:val="00084983"/>
    <w:rsid w:val="00087F53"/>
    <w:rsid w:val="00093E7E"/>
    <w:rsid w:val="00096EE4"/>
    <w:rsid w:val="000A12C7"/>
    <w:rsid w:val="000A2A86"/>
    <w:rsid w:val="000A43B4"/>
    <w:rsid w:val="000A73F4"/>
    <w:rsid w:val="000B25D3"/>
    <w:rsid w:val="000C2440"/>
    <w:rsid w:val="000C3463"/>
    <w:rsid w:val="000C640F"/>
    <w:rsid w:val="000D39C6"/>
    <w:rsid w:val="000D6B69"/>
    <w:rsid w:val="000D6CFC"/>
    <w:rsid w:val="000E083B"/>
    <w:rsid w:val="000E24A4"/>
    <w:rsid w:val="00114DB9"/>
    <w:rsid w:val="001174D8"/>
    <w:rsid w:val="00121323"/>
    <w:rsid w:val="001218CD"/>
    <w:rsid w:val="00122845"/>
    <w:rsid w:val="00124141"/>
    <w:rsid w:val="001258E2"/>
    <w:rsid w:val="0013001E"/>
    <w:rsid w:val="00130A4D"/>
    <w:rsid w:val="0014005E"/>
    <w:rsid w:val="00140084"/>
    <w:rsid w:val="0014206F"/>
    <w:rsid w:val="001423A1"/>
    <w:rsid w:val="001430FC"/>
    <w:rsid w:val="001458A3"/>
    <w:rsid w:val="00150099"/>
    <w:rsid w:val="00152172"/>
    <w:rsid w:val="00153528"/>
    <w:rsid w:val="00157AD8"/>
    <w:rsid w:val="00166A36"/>
    <w:rsid w:val="001741AE"/>
    <w:rsid w:val="001758FB"/>
    <w:rsid w:val="00196F9F"/>
    <w:rsid w:val="001A08AA"/>
    <w:rsid w:val="001A17A5"/>
    <w:rsid w:val="001A2BC5"/>
    <w:rsid w:val="001A2EF9"/>
    <w:rsid w:val="001A3120"/>
    <w:rsid w:val="001A3BFA"/>
    <w:rsid w:val="001B2108"/>
    <w:rsid w:val="001B231F"/>
    <w:rsid w:val="001B6A72"/>
    <w:rsid w:val="001C00AA"/>
    <w:rsid w:val="001C0CFD"/>
    <w:rsid w:val="001C3A35"/>
    <w:rsid w:val="001C3CCB"/>
    <w:rsid w:val="001C4A15"/>
    <w:rsid w:val="001C687E"/>
    <w:rsid w:val="001D0D8E"/>
    <w:rsid w:val="001D7D91"/>
    <w:rsid w:val="001D7F4A"/>
    <w:rsid w:val="001E1CF6"/>
    <w:rsid w:val="001E4636"/>
    <w:rsid w:val="001E6DC6"/>
    <w:rsid w:val="001F20E5"/>
    <w:rsid w:val="001F37A3"/>
    <w:rsid w:val="001F5795"/>
    <w:rsid w:val="001F706B"/>
    <w:rsid w:val="00200996"/>
    <w:rsid w:val="0020314E"/>
    <w:rsid w:val="00204999"/>
    <w:rsid w:val="00206FE6"/>
    <w:rsid w:val="0020758D"/>
    <w:rsid w:val="00207AD7"/>
    <w:rsid w:val="00210D55"/>
    <w:rsid w:val="0021155C"/>
    <w:rsid w:val="00212373"/>
    <w:rsid w:val="002138EA"/>
    <w:rsid w:val="00214FBD"/>
    <w:rsid w:val="00222897"/>
    <w:rsid w:val="0022419C"/>
    <w:rsid w:val="00233E0A"/>
    <w:rsid w:val="00234D1C"/>
    <w:rsid w:val="00235394"/>
    <w:rsid w:val="00235813"/>
    <w:rsid w:val="00236683"/>
    <w:rsid w:val="0023752C"/>
    <w:rsid w:val="00241706"/>
    <w:rsid w:val="00241A14"/>
    <w:rsid w:val="00244EEE"/>
    <w:rsid w:val="0025114C"/>
    <w:rsid w:val="00251340"/>
    <w:rsid w:val="00252AEA"/>
    <w:rsid w:val="00254246"/>
    <w:rsid w:val="00255905"/>
    <w:rsid w:val="0026179F"/>
    <w:rsid w:val="00262600"/>
    <w:rsid w:val="00262A89"/>
    <w:rsid w:val="0026391C"/>
    <w:rsid w:val="00266C6B"/>
    <w:rsid w:val="0026709E"/>
    <w:rsid w:val="00267CC7"/>
    <w:rsid w:val="00271F76"/>
    <w:rsid w:val="002741DA"/>
    <w:rsid w:val="002748A2"/>
    <w:rsid w:val="00274984"/>
    <w:rsid w:val="00274E1A"/>
    <w:rsid w:val="0027758E"/>
    <w:rsid w:val="00277A09"/>
    <w:rsid w:val="00282213"/>
    <w:rsid w:val="00287895"/>
    <w:rsid w:val="00287C09"/>
    <w:rsid w:val="0029076F"/>
    <w:rsid w:val="00293732"/>
    <w:rsid w:val="00296B9F"/>
    <w:rsid w:val="002A4112"/>
    <w:rsid w:val="002A7017"/>
    <w:rsid w:val="002A7F4B"/>
    <w:rsid w:val="002B11F7"/>
    <w:rsid w:val="002B2F16"/>
    <w:rsid w:val="002B3F06"/>
    <w:rsid w:val="002B4D62"/>
    <w:rsid w:val="002C1E1B"/>
    <w:rsid w:val="002C2040"/>
    <w:rsid w:val="002C7D13"/>
    <w:rsid w:val="002D0D61"/>
    <w:rsid w:val="002D2302"/>
    <w:rsid w:val="002D44BD"/>
    <w:rsid w:val="002D48FE"/>
    <w:rsid w:val="002D53EB"/>
    <w:rsid w:val="002D69EF"/>
    <w:rsid w:val="002E465A"/>
    <w:rsid w:val="002E47F7"/>
    <w:rsid w:val="002E5F31"/>
    <w:rsid w:val="002F4093"/>
    <w:rsid w:val="002F5FAD"/>
    <w:rsid w:val="00300544"/>
    <w:rsid w:val="00303EA1"/>
    <w:rsid w:val="00306D8E"/>
    <w:rsid w:val="00307BC9"/>
    <w:rsid w:val="00307D2C"/>
    <w:rsid w:val="00313528"/>
    <w:rsid w:val="003209E5"/>
    <w:rsid w:val="00324F35"/>
    <w:rsid w:val="00326871"/>
    <w:rsid w:val="00326CFF"/>
    <w:rsid w:val="00331E19"/>
    <w:rsid w:val="00332820"/>
    <w:rsid w:val="003340C5"/>
    <w:rsid w:val="0033593B"/>
    <w:rsid w:val="003425B0"/>
    <w:rsid w:val="00342EC7"/>
    <w:rsid w:val="00344657"/>
    <w:rsid w:val="00344BCD"/>
    <w:rsid w:val="003450DD"/>
    <w:rsid w:val="00346308"/>
    <w:rsid w:val="00347574"/>
    <w:rsid w:val="00353724"/>
    <w:rsid w:val="00353E42"/>
    <w:rsid w:val="00353FAE"/>
    <w:rsid w:val="00364DC7"/>
    <w:rsid w:val="00365EF7"/>
    <w:rsid w:val="00366F9B"/>
    <w:rsid w:val="00367724"/>
    <w:rsid w:val="003679B5"/>
    <w:rsid w:val="00371003"/>
    <w:rsid w:val="00373148"/>
    <w:rsid w:val="00374836"/>
    <w:rsid w:val="00380B3C"/>
    <w:rsid w:val="00380C5B"/>
    <w:rsid w:val="00380F33"/>
    <w:rsid w:val="00381C22"/>
    <w:rsid w:val="003834B0"/>
    <w:rsid w:val="00384387"/>
    <w:rsid w:val="00386D7A"/>
    <w:rsid w:val="003907E3"/>
    <w:rsid w:val="0039361E"/>
    <w:rsid w:val="0039509E"/>
    <w:rsid w:val="00397CC0"/>
    <w:rsid w:val="003A1A50"/>
    <w:rsid w:val="003A1E08"/>
    <w:rsid w:val="003B1087"/>
    <w:rsid w:val="003B1AA0"/>
    <w:rsid w:val="003B478A"/>
    <w:rsid w:val="003B5AB0"/>
    <w:rsid w:val="003C4291"/>
    <w:rsid w:val="003C47CE"/>
    <w:rsid w:val="003C5232"/>
    <w:rsid w:val="003D1D54"/>
    <w:rsid w:val="003D2C79"/>
    <w:rsid w:val="003D44C9"/>
    <w:rsid w:val="003D5D10"/>
    <w:rsid w:val="003D7CEB"/>
    <w:rsid w:val="003E300F"/>
    <w:rsid w:val="003E33C4"/>
    <w:rsid w:val="003E39F0"/>
    <w:rsid w:val="003E3F2D"/>
    <w:rsid w:val="003E567C"/>
    <w:rsid w:val="003E6A73"/>
    <w:rsid w:val="003F0282"/>
    <w:rsid w:val="003F1AEA"/>
    <w:rsid w:val="003F1D13"/>
    <w:rsid w:val="003F25EB"/>
    <w:rsid w:val="003F6395"/>
    <w:rsid w:val="003F6FF1"/>
    <w:rsid w:val="004006F6"/>
    <w:rsid w:val="0040097C"/>
    <w:rsid w:val="0040139E"/>
    <w:rsid w:val="004026D0"/>
    <w:rsid w:val="00402F87"/>
    <w:rsid w:val="004048A9"/>
    <w:rsid w:val="00413C3E"/>
    <w:rsid w:val="00413C6C"/>
    <w:rsid w:val="0041477A"/>
    <w:rsid w:val="00417068"/>
    <w:rsid w:val="004204BB"/>
    <w:rsid w:val="00420AD5"/>
    <w:rsid w:val="00426356"/>
    <w:rsid w:val="00427B4E"/>
    <w:rsid w:val="00431287"/>
    <w:rsid w:val="004420B4"/>
    <w:rsid w:val="00444225"/>
    <w:rsid w:val="00456C09"/>
    <w:rsid w:val="0046119F"/>
    <w:rsid w:val="0046266D"/>
    <w:rsid w:val="00466E59"/>
    <w:rsid w:val="004701D2"/>
    <w:rsid w:val="00470B08"/>
    <w:rsid w:val="00470E49"/>
    <w:rsid w:val="00471B36"/>
    <w:rsid w:val="00473D9D"/>
    <w:rsid w:val="00474556"/>
    <w:rsid w:val="00474FBC"/>
    <w:rsid w:val="00476D28"/>
    <w:rsid w:val="00481D0F"/>
    <w:rsid w:val="00482CB3"/>
    <w:rsid w:val="004835B4"/>
    <w:rsid w:val="00484D33"/>
    <w:rsid w:val="00485FCA"/>
    <w:rsid w:val="00490F98"/>
    <w:rsid w:val="00490FAF"/>
    <w:rsid w:val="00491FA6"/>
    <w:rsid w:val="00494B34"/>
    <w:rsid w:val="00495A33"/>
    <w:rsid w:val="004A07A1"/>
    <w:rsid w:val="004A17C7"/>
    <w:rsid w:val="004A419F"/>
    <w:rsid w:val="004A6497"/>
    <w:rsid w:val="004A6B36"/>
    <w:rsid w:val="004B27EC"/>
    <w:rsid w:val="004B77E6"/>
    <w:rsid w:val="004C2A16"/>
    <w:rsid w:val="004D0FD5"/>
    <w:rsid w:val="004D5AE5"/>
    <w:rsid w:val="004D670E"/>
    <w:rsid w:val="004E2B50"/>
    <w:rsid w:val="004F08C5"/>
    <w:rsid w:val="004F374D"/>
    <w:rsid w:val="004F3D34"/>
    <w:rsid w:val="004F3E0E"/>
    <w:rsid w:val="004F3EB5"/>
    <w:rsid w:val="004F554E"/>
    <w:rsid w:val="004F7A3D"/>
    <w:rsid w:val="004F7C82"/>
    <w:rsid w:val="00501CEE"/>
    <w:rsid w:val="00505BFA"/>
    <w:rsid w:val="005069C0"/>
    <w:rsid w:val="00511254"/>
    <w:rsid w:val="00512458"/>
    <w:rsid w:val="00513632"/>
    <w:rsid w:val="00517B81"/>
    <w:rsid w:val="00520CFC"/>
    <w:rsid w:val="00522C5E"/>
    <w:rsid w:val="005239FE"/>
    <w:rsid w:val="00526FA7"/>
    <w:rsid w:val="0053435C"/>
    <w:rsid w:val="00541EB9"/>
    <w:rsid w:val="00543311"/>
    <w:rsid w:val="00546367"/>
    <w:rsid w:val="005471FE"/>
    <w:rsid w:val="00547986"/>
    <w:rsid w:val="00554A16"/>
    <w:rsid w:val="005550DD"/>
    <w:rsid w:val="005603F5"/>
    <w:rsid w:val="005649A1"/>
    <w:rsid w:val="00566838"/>
    <w:rsid w:val="005671B7"/>
    <w:rsid w:val="00580542"/>
    <w:rsid w:val="00580587"/>
    <w:rsid w:val="00581E88"/>
    <w:rsid w:val="0058392F"/>
    <w:rsid w:val="00584020"/>
    <w:rsid w:val="00585B23"/>
    <w:rsid w:val="005908D2"/>
    <w:rsid w:val="00592F28"/>
    <w:rsid w:val="00593B56"/>
    <w:rsid w:val="005943B2"/>
    <w:rsid w:val="00595618"/>
    <w:rsid w:val="005A0EDD"/>
    <w:rsid w:val="005A616F"/>
    <w:rsid w:val="005A6F48"/>
    <w:rsid w:val="005C239F"/>
    <w:rsid w:val="005C331B"/>
    <w:rsid w:val="005C4593"/>
    <w:rsid w:val="005E12CD"/>
    <w:rsid w:val="005E2985"/>
    <w:rsid w:val="005E5D66"/>
    <w:rsid w:val="005F3B1B"/>
    <w:rsid w:val="005F4867"/>
    <w:rsid w:val="00607D98"/>
    <w:rsid w:val="0061059A"/>
    <w:rsid w:val="006126CA"/>
    <w:rsid w:val="006131BB"/>
    <w:rsid w:val="00613B1E"/>
    <w:rsid w:val="00616FB0"/>
    <w:rsid w:val="006210C4"/>
    <w:rsid w:val="00622B32"/>
    <w:rsid w:val="00634928"/>
    <w:rsid w:val="00635671"/>
    <w:rsid w:val="00636ABD"/>
    <w:rsid w:val="00645857"/>
    <w:rsid w:val="006468DD"/>
    <w:rsid w:val="00651C2B"/>
    <w:rsid w:val="006537BF"/>
    <w:rsid w:val="00653DF0"/>
    <w:rsid w:val="006543EF"/>
    <w:rsid w:val="0065492A"/>
    <w:rsid w:val="00654D11"/>
    <w:rsid w:val="00656A7B"/>
    <w:rsid w:val="00665AD3"/>
    <w:rsid w:val="00683EDA"/>
    <w:rsid w:val="006856E5"/>
    <w:rsid w:val="006937D0"/>
    <w:rsid w:val="00695755"/>
    <w:rsid w:val="00696BE5"/>
    <w:rsid w:val="00696D0A"/>
    <w:rsid w:val="006974B7"/>
    <w:rsid w:val="006A03F3"/>
    <w:rsid w:val="006A5A2A"/>
    <w:rsid w:val="006A5ED0"/>
    <w:rsid w:val="006A692A"/>
    <w:rsid w:val="006B03F1"/>
    <w:rsid w:val="006B0D02"/>
    <w:rsid w:val="006B1C2F"/>
    <w:rsid w:val="006B363D"/>
    <w:rsid w:val="006B39EF"/>
    <w:rsid w:val="006C3A94"/>
    <w:rsid w:val="006C565C"/>
    <w:rsid w:val="006D132D"/>
    <w:rsid w:val="006D6B1F"/>
    <w:rsid w:val="006E45D9"/>
    <w:rsid w:val="006E5FD8"/>
    <w:rsid w:val="006F0D5F"/>
    <w:rsid w:val="006F1DCF"/>
    <w:rsid w:val="006F4830"/>
    <w:rsid w:val="006F4A1A"/>
    <w:rsid w:val="006F5431"/>
    <w:rsid w:val="006F5C22"/>
    <w:rsid w:val="00700488"/>
    <w:rsid w:val="007017C7"/>
    <w:rsid w:val="00703F5D"/>
    <w:rsid w:val="00705FF6"/>
    <w:rsid w:val="0070646B"/>
    <w:rsid w:val="007066FA"/>
    <w:rsid w:val="00707941"/>
    <w:rsid w:val="00707CE7"/>
    <w:rsid w:val="007106D0"/>
    <w:rsid w:val="00711853"/>
    <w:rsid w:val="0071466D"/>
    <w:rsid w:val="00714DD6"/>
    <w:rsid w:val="007162EF"/>
    <w:rsid w:val="00720148"/>
    <w:rsid w:val="00720AC9"/>
    <w:rsid w:val="007250C2"/>
    <w:rsid w:val="0072666A"/>
    <w:rsid w:val="00726FD4"/>
    <w:rsid w:val="00727352"/>
    <w:rsid w:val="00727593"/>
    <w:rsid w:val="00727A8D"/>
    <w:rsid w:val="00730547"/>
    <w:rsid w:val="00735C81"/>
    <w:rsid w:val="00736A17"/>
    <w:rsid w:val="007373B0"/>
    <w:rsid w:val="007403F2"/>
    <w:rsid w:val="00741775"/>
    <w:rsid w:val="00744CC1"/>
    <w:rsid w:val="0074650E"/>
    <w:rsid w:val="00747AD4"/>
    <w:rsid w:val="00751C3B"/>
    <w:rsid w:val="00752FA3"/>
    <w:rsid w:val="00757173"/>
    <w:rsid w:val="00770A12"/>
    <w:rsid w:val="00774B17"/>
    <w:rsid w:val="00774DDA"/>
    <w:rsid w:val="007756A1"/>
    <w:rsid w:val="0078088D"/>
    <w:rsid w:val="00785759"/>
    <w:rsid w:val="00785D03"/>
    <w:rsid w:val="007927CF"/>
    <w:rsid w:val="00797994"/>
    <w:rsid w:val="007A2502"/>
    <w:rsid w:val="007A4551"/>
    <w:rsid w:val="007A4F68"/>
    <w:rsid w:val="007A5139"/>
    <w:rsid w:val="007A5243"/>
    <w:rsid w:val="007A6059"/>
    <w:rsid w:val="007B03C6"/>
    <w:rsid w:val="007B0584"/>
    <w:rsid w:val="007B4010"/>
    <w:rsid w:val="007B5856"/>
    <w:rsid w:val="007B6FFB"/>
    <w:rsid w:val="007C6DD8"/>
    <w:rsid w:val="007D0054"/>
    <w:rsid w:val="007D258B"/>
    <w:rsid w:val="007D36D3"/>
    <w:rsid w:val="007D3BE3"/>
    <w:rsid w:val="007D6048"/>
    <w:rsid w:val="007E2E0D"/>
    <w:rsid w:val="007E7938"/>
    <w:rsid w:val="007F0E1E"/>
    <w:rsid w:val="007F0E21"/>
    <w:rsid w:val="007F1535"/>
    <w:rsid w:val="007F1884"/>
    <w:rsid w:val="007F3403"/>
    <w:rsid w:val="007F39D0"/>
    <w:rsid w:val="007F4B80"/>
    <w:rsid w:val="007F4CAF"/>
    <w:rsid w:val="007F4CCC"/>
    <w:rsid w:val="007F5B12"/>
    <w:rsid w:val="007F62EA"/>
    <w:rsid w:val="007F7064"/>
    <w:rsid w:val="00803E82"/>
    <w:rsid w:val="00804709"/>
    <w:rsid w:val="00807F76"/>
    <w:rsid w:val="00811A04"/>
    <w:rsid w:val="008142CC"/>
    <w:rsid w:val="00816C9D"/>
    <w:rsid w:val="0082033D"/>
    <w:rsid w:val="0082190B"/>
    <w:rsid w:val="00826B31"/>
    <w:rsid w:val="008278A2"/>
    <w:rsid w:val="00830BED"/>
    <w:rsid w:val="00836C44"/>
    <w:rsid w:val="0083754E"/>
    <w:rsid w:val="00837660"/>
    <w:rsid w:val="00840A11"/>
    <w:rsid w:val="008450F8"/>
    <w:rsid w:val="00845E55"/>
    <w:rsid w:val="00846391"/>
    <w:rsid w:val="008541B3"/>
    <w:rsid w:val="008602F7"/>
    <w:rsid w:val="00861C5F"/>
    <w:rsid w:val="008626D8"/>
    <w:rsid w:val="00864950"/>
    <w:rsid w:val="00864C2F"/>
    <w:rsid w:val="00870861"/>
    <w:rsid w:val="00884BE6"/>
    <w:rsid w:val="0088503C"/>
    <w:rsid w:val="00885D92"/>
    <w:rsid w:val="00892723"/>
    <w:rsid w:val="00893454"/>
    <w:rsid w:val="00895D05"/>
    <w:rsid w:val="00897A25"/>
    <w:rsid w:val="008A0A78"/>
    <w:rsid w:val="008A1A84"/>
    <w:rsid w:val="008A6143"/>
    <w:rsid w:val="008B0529"/>
    <w:rsid w:val="008B5C74"/>
    <w:rsid w:val="008C2308"/>
    <w:rsid w:val="008C60E9"/>
    <w:rsid w:val="008C7836"/>
    <w:rsid w:val="008D7BED"/>
    <w:rsid w:val="008E4413"/>
    <w:rsid w:val="008E4684"/>
    <w:rsid w:val="008E4F84"/>
    <w:rsid w:val="008F08D9"/>
    <w:rsid w:val="008F1346"/>
    <w:rsid w:val="008F540C"/>
    <w:rsid w:val="008F7D93"/>
    <w:rsid w:val="0090512F"/>
    <w:rsid w:val="0090524D"/>
    <w:rsid w:val="009064E9"/>
    <w:rsid w:val="009076E4"/>
    <w:rsid w:val="00911B1A"/>
    <w:rsid w:val="00916F35"/>
    <w:rsid w:val="00925B2A"/>
    <w:rsid w:val="00931702"/>
    <w:rsid w:val="00931918"/>
    <w:rsid w:val="00932F29"/>
    <w:rsid w:val="00937FBD"/>
    <w:rsid w:val="00945858"/>
    <w:rsid w:val="009514EA"/>
    <w:rsid w:val="00951CC5"/>
    <w:rsid w:val="00952F41"/>
    <w:rsid w:val="0095378B"/>
    <w:rsid w:val="0095392E"/>
    <w:rsid w:val="00957EF1"/>
    <w:rsid w:val="00964105"/>
    <w:rsid w:val="00970A06"/>
    <w:rsid w:val="0097133C"/>
    <w:rsid w:val="00972528"/>
    <w:rsid w:val="0097539D"/>
    <w:rsid w:val="009767AC"/>
    <w:rsid w:val="00980E79"/>
    <w:rsid w:val="00982B7E"/>
    <w:rsid w:val="00983910"/>
    <w:rsid w:val="00984E5F"/>
    <w:rsid w:val="009913F6"/>
    <w:rsid w:val="00992B5F"/>
    <w:rsid w:val="00997D88"/>
    <w:rsid w:val="009A4E46"/>
    <w:rsid w:val="009C0727"/>
    <w:rsid w:val="009C55F4"/>
    <w:rsid w:val="009C6214"/>
    <w:rsid w:val="009D28E0"/>
    <w:rsid w:val="009D78C2"/>
    <w:rsid w:val="009D7F67"/>
    <w:rsid w:val="009E186C"/>
    <w:rsid w:val="009E3840"/>
    <w:rsid w:val="009E41C5"/>
    <w:rsid w:val="009E448E"/>
    <w:rsid w:val="009E520A"/>
    <w:rsid w:val="009E7AFD"/>
    <w:rsid w:val="009F20D3"/>
    <w:rsid w:val="00A079A7"/>
    <w:rsid w:val="00A165D9"/>
    <w:rsid w:val="00A17573"/>
    <w:rsid w:val="00A210B9"/>
    <w:rsid w:val="00A22FB6"/>
    <w:rsid w:val="00A2310D"/>
    <w:rsid w:val="00A25AEB"/>
    <w:rsid w:val="00A277B2"/>
    <w:rsid w:val="00A313BC"/>
    <w:rsid w:val="00A320FB"/>
    <w:rsid w:val="00A3540D"/>
    <w:rsid w:val="00A446A0"/>
    <w:rsid w:val="00A4504D"/>
    <w:rsid w:val="00A452C2"/>
    <w:rsid w:val="00A45E4D"/>
    <w:rsid w:val="00A515A6"/>
    <w:rsid w:val="00A51F25"/>
    <w:rsid w:val="00A56613"/>
    <w:rsid w:val="00A57698"/>
    <w:rsid w:val="00A60D06"/>
    <w:rsid w:val="00A61E17"/>
    <w:rsid w:val="00A6312F"/>
    <w:rsid w:val="00A65439"/>
    <w:rsid w:val="00A65F4C"/>
    <w:rsid w:val="00A67306"/>
    <w:rsid w:val="00A67ACD"/>
    <w:rsid w:val="00A71503"/>
    <w:rsid w:val="00A72864"/>
    <w:rsid w:val="00A7302E"/>
    <w:rsid w:val="00A74CFE"/>
    <w:rsid w:val="00A7618D"/>
    <w:rsid w:val="00A77EC9"/>
    <w:rsid w:val="00A8094A"/>
    <w:rsid w:val="00A80BEF"/>
    <w:rsid w:val="00A81B15"/>
    <w:rsid w:val="00A82056"/>
    <w:rsid w:val="00A8521F"/>
    <w:rsid w:val="00A85286"/>
    <w:rsid w:val="00A858B1"/>
    <w:rsid w:val="00A85DBC"/>
    <w:rsid w:val="00A91132"/>
    <w:rsid w:val="00A97CB6"/>
    <w:rsid w:val="00AA28BF"/>
    <w:rsid w:val="00AA3D6A"/>
    <w:rsid w:val="00AA42AF"/>
    <w:rsid w:val="00AA66F7"/>
    <w:rsid w:val="00AA69E4"/>
    <w:rsid w:val="00AA7233"/>
    <w:rsid w:val="00AB0C5E"/>
    <w:rsid w:val="00AB25ED"/>
    <w:rsid w:val="00AB32B3"/>
    <w:rsid w:val="00AB3F85"/>
    <w:rsid w:val="00AB4AC5"/>
    <w:rsid w:val="00AB7062"/>
    <w:rsid w:val="00AC6E03"/>
    <w:rsid w:val="00AD17B1"/>
    <w:rsid w:val="00AD4B9B"/>
    <w:rsid w:val="00AD5247"/>
    <w:rsid w:val="00AD768A"/>
    <w:rsid w:val="00AE116C"/>
    <w:rsid w:val="00AE342A"/>
    <w:rsid w:val="00AE627B"/>
    <w:rsid w:val="00AE6EAF"/>
    <w:rsid w:val="00AF0F4C"/>
    <w:rsid w:val="00AF3407"/>
    <w:rsid w:val="00AF5AD3"/>
    <w:rsid w:val="00B04EAE"/>
    <w:rsid w:val="00B0589A"/>
    <w:rsid w:val="00B14BC8"/>
    <w:rsid w:val="00B1707D"/>
    <w:rsid w:val="00B20C57"/>
    <w:rsid w:val="00B21D87"/>
    <w:rsid w:val="00B22ADA"/>
    <w:rsid w:val="00B24E76"/>
    <w:rsid w:val="00B31DB0"/>
    <w:rsid w:val="00B334B9"/>
    <w:rsid w:val="00B36208"/>
    <w:rsid w:val="00B3769C"/>
    <w:rsid w:val="00B40D30"/>
    <w:rsid w:val="00B426E8"/>
    <w:rsid w:val="00B42B91"/>
    <w:rsid w:val="00B478AC"/>
    <w:rsid w:val="00B55D9A"/>
    <w:rsid w:val="00B5661F"/>
    <w:rsid w:val="00B6099D"/>
    <w:rsid w:val="00B62514"/>
    <w:rsid w:val="00B65101"/>
    <w:rsid w:val="00B67F1B"/>
    <w:rsid w:val="00B7370C"/>
    <w:rsid w:val="00B73955"/>
    <w:rsid w:val="00B75081"/>
    <w:rsid w:val="00B75741"/>
    <w:rsid w:val="00B822A0"/>
    <w:rsid w:val="00B8446C"/>
    <w:rsid w:val="00B92920"/>
    <w:rsid w:val="00B93A4D"/>
    <w:rsid w:val="00B943D6"/>
    <w:rsid w:val="00BA0D2D"/>
    <w:rsid w:val="00BA47FD"/>
    <w:rsid w:val="00BA5EFD"/>
    <w:rsid w:val="00BB2B4D"/>
    <w:rsid w:val="00BB4346"/>
    <w:rsid w:val="00BB43B8"/>
    <w:rsid w:val="00BB53AC"/>
    <w:rsid w:val="00BB5C16"/>
    <w:rsid w:val="00BB7338"/>
    <w:rsid w:val="00BC2D24"/>
    <w:rsid w:val="00BC577A"/>
    <w:rsid w:val="00BD0905"/>
    <w:rsid w:val="00BD455F"/>
    <w:rsid w:val="00BD707B"/>
    <w:rsid w:val="00BE0187"/>
    <w:rsid w:val="00BE1212"/>
    <w:rsid w:val="00BE1A05"/>
    <w:rsid w:val="00BE3D23"/>
    <w:rsid w:val="00BE5CA5"/>
    <w:rsid w:val="00BE5CB9"/>
    <w:rsid w:val="00BF5875"/>
    <w:rsid w:val="00C01AD5"/>
    <w:rsid w:val="00C01D24"/>
    <w:rsid w:val="00C01D4A"/>
    <w:rsid w:val="00C050BC"/>
    <w:rsid w:val="00C050CF"/>
    <w:rsid w:val="00C06487"/>
    <w:rsid w:val="00C065DE"/>
    <w:rsid w:val="00C11A79"/>
    <w:rsid w:val="00C12DAA"/>
    <w:rsid w:val="00C1494B"/>
    <w:rsid w:val="00C14DE6"/>
    <w:rsid w:val="00C15AC6"/>
    <w:rsid w:val="00C16052"/>
    <w:rsid w:val="00C1643C"/>
    <w:rsid w:val="00C209B5"/>
    <w:rsid w:val="00C26EE8"/>
    <w:rsid w:val="00C313B8"/>
    <w:rsid w:val="00C31D69"/>
    <w:rsid w:val="00C401B8"/>
    <w:rsid w:val="00C42F12"/>
    <w:rsid w:val="00C451D8"/>
    <w:rsid w:val="00C475DA"/>
    <w:rsid w:val="00C505AA"/>
    <w:rsid w:val="00C56792"/>
    <w:rsid w:val="00C6278C"/>
    <w:rsid w:val="00C63AA2"/>
    <w:rsid w:val="00C65422"/>
    <w:rsid w:val="00C6599B"/>
    <w:rsid w:val="00C76F04"/>
    <w:rsid w:val="00C804C3"/>
    <w:rsid w:val="00C807DB"/>
    <w:rsid w:val="00C81268"/>
    <w:rsid w:val="00C83771"/>
    <w:rsid w:val="00C87851"/>
    <w:rsid w:val="00C93744"/>
    <w:rsid w:val="00C958F3"/>
    <w:rsid w:val="00CA3A27"/>
    <w:rsid w:val="00CA517A"/>
    <w:rsid w:val="00CB0D58"/>
    <w:rsid w:val="00CB29E4"/>
    <w:rsid w:val="00CB5BF2"/>
    <w:rsid w:val="00CC15A4"/>
    <w:rsid w:val="00CC28A9"/>
    <w:rsid w:val="00CC6580"/>
    <w:rsid w:val="00CC6FE0"/>
    <w:rsid w:val="00CC75FD"/>
    <w:rsid w:val="00CE0386"/>
    <w:rsid w:val="00CF0031"/>
    <w:rsid w:val="00CF0C99"/>
    <w:rsid w:val="00CF46D3"/>
    <w:rsid w:val="00CF61F2"/>
    <w:rsid w:val="00D075D8"/>
    <w:rsid w:val="00D076FD"/>
    <w:rsid w:val="00D1118A"/>
    <w:rsid w:val="00D12CB8"/>
    <w:rsid w:val="00D16CE2"/>
    <w:rsid w:val="00D21245"/>
    <w:rsid w:val="00D21C9F"/>
    <w:rsid w:val="00D22BEB"/>
    <w:rsid w:val="00D26BF2"/>
    <w:rsid w:val="00D33C1E"/>
    <w:rsid w:val="00D37444"/>
    <w:rsid w:val="00D37A5A"/>
    <w:rsid w:val="00D402C2"/>
    <w:rsid w:val="00D45EB6"/>
    <w:rsid w:val="00D520E4"/>
    <w:rsid w:val="00D54860"/>
    <w:rsid w:val="00D54AA0"/>
    <w:rsid w:val="00D54F08"/>
    <w:rsid w:val="00D55B87"/>
    <w:rsid w:val="00D567FB"/>
    <w:rsid w:val="00D57DFA"/>
    <w:rsid w:val="00D604EE"/>
    <w:rsid w:val="00D6215E"/>
    <w:rsid w:val="00D70DBC"/>
    <w:rsid w:val="00D7306B"/>
    <w:rsid w:val="00D73201"/>
    <w:rsid w:val="00D73647"/>
    <w:rsid w:val="00D7446F"/>
    <w:rsid w:val="00D8307F"/>
    <w:rsid w:val="00D8465F"/>
    <w:rsid w:val="00D85B5D"/>
    <w:rsid w:val="00D86BB3"/>
    <w:rsid w:val="00D904FD"/>
    <w:rsid w:val="00D90F93"/>
    <w:rsid w:val="00D91F54"/>
    <w:rsid w:val="00D93835"/>
    <w:rsid w:val="00D93AE3"/>
    <w:rsid w:val="00D9442D"/>
    <w:rsid w:val="00D94F8B"/>
    <w:rsid w:val="00D95235"/>
    <w:rsid w:val="00D9763F"/>
    <w:rsid w:val="00DA66C3"/>
    <w:rsid w:val="00DB5E7F"/>
    <w:rsid w:val="00DC176A"/>
    <w:rsid w:val="00DD0C2C"/>
    <w:rsid w:val="00DD0F6E"/>
    <w:rsid w:val="00DD1C07"/>
    <w:rsid w:val="00DD4982"/>
    <w:rsid w:val="00DD4BF9"/>
    <w:rsid w:val="00DE0E3E"/>
    <w:rsid w:val="00DE2633"/>
    <w:rsid w:val="00DF17BD"/>
    <w:rsid w:val="00DF1AE6"/>
    <w:rsid w:val="00E038CE"/>
    <w:rsid w:val="00E03F11"/>
    <w:rsid w:val="00E0463C"/>
    <w:rsid w:val="00E077C9"/>
    <w:rsid w:val="00E11C02"/>
    <w:rsid w:val="00E21128"/>
    <w:rsid w:val="00E21AB4"/>
    <w:rsid w:val="00E224FC"/>
    <w:rsid w:val="00E31F57"/>
    <w:rsid w:val="00E32C2E"/>
    <w:rsid w:val="00E336C5"/>
    <w:rsid w:val="00E34794"/>
    <w:rsid w:val="00E41279"/>
    <w:rsid w:val="00E502C4"/>
    <w:rsid w:val="00E50777"/>
    <w:rsid w:val="00E55ABC"/>
    <w:rsid w:val="00E56168"/>
    <w:rsid w:val="00E57B74"/>
    <w:rsid w:val="00E57FEF"/>
    <w:rsid w:val="00E642B3"/>
    <w:rsid w:val="00E70C18"/>
    <w:rsid w:val="00E8629F"/>
    <w:rsid w:val="00E90B54"/>
    <w:rsid w:val="00E96BC6"/>
    <w:rsid w:val="00E97AA9"/>
    <w:rsid w:val="00EA09B1"/>
    <w:rsid w:val="00EA0B7F"/>
    <w:rsid w:val="00EA3C24"/>
    <w:rsid w:val="00EA3D76"/>
    <w:rsid w:val="00EA58CF"/>
    <w:rsid w:val="00EB0292"/>
    <w:rsid w:val="00EC0715"/>
    <w:rsid w:val="00EC6A1C"/>
    <w:rsid w:val="00EC71D4"/>
    <w:rsid w:val="00ED5F47"/>
    <w:rsid w:val="00ED7922"/>
    <w:rsid w:val="00EE01EA"/>
    <w:rsid w:val="00EE066A"/>
    <w:rsid w:val="00EE2605"/>
    <w:rsid w:val="00EE3A95"/>
    <w:rsid w:val="00EE5692"/>
    <w:rsid w:val="00EE6221"/>
    <w:rsid w:val="00EE7690"/>
    <w:rsid w:val="00EF011F"/>
    <w:rsid w:val="00EF325F"/>
    <w:rsid w:val="00EF32A7"/>
    <w:rsid w:val="00EF5D8B"/>
    <w:rsid w:val="00EF6BCD"/>
    <w:rsid w:val="00F01416"/>
    <w:rsid w:val="00F030CA"/>
    <w:rsid w:val="00F0557F"/>
    <w:rsid w:val="00F05DFF"/>
    <w:rsid w:val="00F072D8"/>
    <w:rsid w:val="00F10B79"/>
    <w:rsid w:val="00F12D23"/>
    <w:rsid w:val="00F15074"/>
    <w:rsid w:val="00F15855"/>
    <w:rsid w:val="00F15ED4"/>
    <w:rsid w:val="00F1709D"/>
    <w:rsid w:val="00F1745D"/>
    <w:rsid w:val="00F23155"/>
    <w:rsid w:val="00F26554"/>
    <w:rsid w:val="00F30653"/>
    <w:rsid w:val="00F3413D"/>
    <w:rsid w:val="00F37710"/>
    <w:rsid w:val="00F5656B"/>
    <w:rsid w:val="00F57678"/>
    <w:rsid w:val="00F63B69"/>
    <w:rsid w:val="00F7184A"/>
    <w:rsid w:val="00F77EB0"/>
    <w:rsid w:val="00F81AC1"/>
    <w:rsid w:val="00F83415"/>
    <w:rsid w:val="00F85459"/>
    <w:rsid w:val="00F91F8F"/>
    <w:rsid w:val="00FA0215"/>
    <w:rsid w:val="00FA04B9"/>
    <w:rsid w:val="00FA35B4"/>
    <w:rsid w:val="00FB2CFC"/>
    <w:rsid w:val="00FB3721"/>
    <w:rsid w:val="00FB560E"/>
    <w:rsid w:val="00FB69E7"/>
    <w:rsid w:val="00FB7E5D"/>
    <w:rsid w:val="00FC051F"/>
    <w:rsid w:val="00FC5F9D"/>
    <w:rsid w:val="00FD16E0"/>
    <w:rsid w:val="00FD182B"/>
    <w:rsid w:val="00FD446A"/>
    <w:rsid w:val="00FD7A87"/>
    <w:rsid w:val="00FE1522"/>
    <w:rsid w:val="00FE6645"/>
    <w:rsid w:val="00FF04B3"/>
    <w:rsid w:val="00FF3FF6"/>
    <w:rsid w:val="7FB6D32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5057"/>
    <o:shapelayout v:ext="edit">
      <o:idmap v:ext="edit" data="1"/>
    </o:shapelayout>
  </w:shapeDefaults>
  <w:decimalSymbol w:val="."/>
  <w:listSeparator w:val=","/>
  <w14:docId w14:val="35952386"/>
  <w15:chartTrackingRefBased/>
  <w15:docId w15:val="{DBEAC9A4-09CA-496C-BD30-A11AFEFDFE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algun Gothic"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
    <w:basedOn w:val="Heading2"/>
    <w:next w:val="Normal"/>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eastAsia="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rPr>
      <w:lang w:eastAsia="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lang w:eastAsia="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character" w:customStyle="1" w:styleId="TALChar">
    <w:name w:val="TAL Char"/>
    <w:link w:val="TAL"/>
    <w:rsid w:val="00064500"/>
    <w:rPr>
      <w:rFonts w:ascii="Arial" w:hAnsi="Arial"/>
      <w:sz w:val="18"/>
      <w:lang w:val="en-G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
    <w:basedOn w:val="Normal"/>
    <w:next w:val="Normal"/>
    <w:link w:val="CaptionChar1"/>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BalloonText">
    <w:name w:val="Balloon Text"/>
    <w:basedOn w:val="Normal"/>
    <w:link w:val="BalloonTextChar"/>
    <w:rsid w:val="006B1C2F"/>
    <w:pPr>
      <w:spacing w:after="0"/>
    </w:pPr>
    <w:rPr>
      <w:rFonts w:ascii="Segoe UI" w:hAnsi="Segoe UI"/>
      <w:sz w:val="18"/>
      <w:szCs w:val="18"/>
      <w:lang w:eastAsia="x-none"/>
    </w:rPr>
  </w:style>
  <w:style w:type="character" w:customStyle="1" w:styleId="BalloonTextChar">
    <w:name w:val="Balloon Text Char"/>
    <w:link w:val="BalloonText"/>
    <w:rsid w:val="006B1C2F"/>
    <w:rPr>
      <w:rFonts w:ascii="Segoe UI" w:hAnsi="Segoe UI" w:cs="Segoe UI"/>
      <w:sz w:val="18"/>
      <w:szCs w:val="18"/>
      <w:lang w:val="en-GB"/>
    </w:rPr>
  </w:style>
  <w:style w:type="character" w:customStyle="1" w:styleId="B1Char">
    <w:name w:val="B1 Char"/>
    <w:link w:val="B1"/>
    <w:rsid w:val="006B1C2F"/>
    <w:rPr>
      <w:lang w:val="en-GB"/>
    </w:rPr>
  </w:style>
  <w:style w:type="character" w:customStyle="1" w:styleId="TAHCar">
    <w:name w:val="TAH Car"/>
    <w:link w:val="TAH"/>
    <w:qFormat/>
    <w:rsid w:val="006B1C2F"/>
    <w:rPr>
      <w:rFonts w:ascii="Arial" w:hAnsi="Arial"/>
      <w:b/>
      <w:sz w:val="18"/>
      <w:lang w:val="en-GB"/>
    </w:rPr>
  </w:style>
  <w:style w:type="character" w:customStyle="1" w:styleId="TACChar">
    <w:name w:val="TAC Char"/>
    <w:link w:val="TAC"/>
    <w:qFormat/>
    <w:rsid w:val="00A56613"/>
    <w:rPr>
      <w:rFonts w:ascii="Arial" w:hAnsi="Arial"/>
      <w:sz w:val="18"/>
      <w:lang w:val="en-GB"/>
    </w:rPr>
  </w:style>
  <w:style w:type="character" w:customStyle="1" w:styleId="TFChar">
    <w:name w:val="TF Char"/>
    <w:link w:val="TF"/>
    <w:qFormat/>
    <w:rsid w:val="00A165D9"/>
    <w:rPr>
      <w:rFonts w:ascii="Arial" w:hAnsi="Arial"/>
      <w:b/>
      <w:lang w:val="en-GB"/>
    </w:rPr>
  </w:style>
  <w:style w:type="character" w:customStyle="1" w:styleId="THChar">
    <w:name w:val="TH Char"/>
    <w:link w:val="TH"/>
    <w:qFormat/>
    <w:locked/>
    <w:rsid w:val="00064500"/>
    <w:rPr>
      <w:rFonts w:ascii="Arial" w:hAnsi="Arial"/>
      <w:b/>
      <w:lang w:val="en-GB"/>
    </w:rPr>
  </w:style>
  <w:style w:type="character" w:customStyle="1" w:styleId="B1Char1">
    <w:name w:val="B1 Char1"/>
    <w:rsid w:val="00AE116C"/>
    <w:rPr>
      <w:rFonts w:eastAsia="Times New Roman"/>
    </w:r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
    <w:basedOn w:val="Normal"/>
    <w:link w:val="ListParagraphChar"/>
    <w:uiPriority w:val="34"/>
    <w:qFormat/>
    <w:rsid w:val="00E50777"/>
    <w:pPr>
      <w:numPr>
        <w:numId w:val="39"/>
      </w:numPr>
      <w:spacing w:after="200" w:line="276" w:lineRule="auto"/>
      <w:contextualSpacing/>
    </w:pPr>
    <w:rPr>
      <w:rFonts w:eastAsia="Calibri"/>
      <w:lang w:val="en-US"/>
    </w:rPr>
  </w:style>
  <w:style w:type="character" w:customStyle="1" w:styleId="TALCar">
    <w:name w:val="TAL Car"/>
    <w:locked/>
    <w:rsid w:val="00AE116C"/>
    <w:rPr>
      <w:rFonts w:ascii="Arial" w:eastAsia="Times New Roman" w:hAnsi="Arial"/>
      <w:sz w:val="18"/>
      <w:lang w:val="en-GB" w:eastAsia="en-GB"/>
    </w:rPr>
  </w:style>
  <w:style w:type="paragraph" w:styleId="CommentSubject">
    <w:name w:val="annotation subject"/>
    <w:basedOn w:val="CommentText"/>
    <w:next w:val="CommentText"/>
    <w:link w:val="CommentSubjectChar"/>
    <w:rsid w:val="00A515A6"/>
    <w:rPr>
      <w:b/>
      <w:bCs/>
    </w:rPr>
  </w:style>
  <w:style w:type="character" w:customStyle="1" w:styleId="CommentTextChar">
    <w:name w:val="Comment Text Char"/>
    <w:link w:val="CommentText"/>
    <w:semiHidden/>
    <w:rsid w:val="00A515A6"/>
    <w:rPr>
      <w:lang w:val="en-GB"/>
    </w:rPr>
  </w:style>
  <w:style w:type="character" w:customStyle="1" w:styleId="CommentSubjectChar">
    <w:name w:val="Comment Subject Char"/>
    <w:link w:val="CommentSubject"/>
    <w:rsid w:val="00A515A6"/>
    <w:rPr>
      <w:b/>
      <w:bCs/>
      <w:lang w:val="en-GB"/>
    </w:rPr>
  </w:style>
  <w:style w:type="character" w:customStyle="1" w:styleId="EQChar">
    <w:name w:val="EQ Char"/>
    <w:link w:val="EQ"/>
    <w:rsid w:val="009D7F67"/>
    <w:rPr>
      <w:noProof/>
      <w:lang w:eastAsia="en-U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
    <w:link w:val="Caption"/>
    <w:rsid w:val="00EF011F"/>
    <w:rPr>
      <w:b/>
      <w:lang w:val="en-GB" w:eastAsia="en-US"/>
    </w:rPr>
  </w:style>
  <w:style w:type="character" w:styleId="UnresolvedMention">
    <w:name w:val="Unresolved Mention"/>
    <w:uiPriority w:val="99"/>
    <w:semiHidden/>
    <w:unhideWhenUsed/>
    <w:rsid w:val="00F63B69"/>
    <w:rPr>
      <w:color w:val="808080"/>
      <w:shd w:val="clear" w:color="auto" w:fill="E6E6E6"/>
    </w:rPr>
  </w:style>
  <w:style w:type="paragraph" w:customStyle="1" w:styleId="a">
    <w:name w:val="参考文献"/>
    <w:basedOn w:val="Normal"/>
    <w:qFormat/>
    <w:rsid w:val="00F63B69"/>
    <w:pPr>
      <w:keepLines/>
      <w:numPr>
        <w:numId w:val="18"/>
      </w:numPr>
      <w:spacing w:after="0"/>
    </w:pPr>
    <w:rPr>
      <w:rFonts w:eastAsia="MS Mincho"/>
    </w:rPr>
  </w:style>
  <w:style w:type="paragraph" w:styleId="Revision">
    <w:name w:val="Revision"/>
    <w:hidden/>
    <w:uiPriority w:val="99"/>
    <w:semiHidden/>
    <w:rsid w:val="006F5C22"/>
    <w:rPr>
      <w:lang w:val="en-GB"/>
    </w:rPr>
  </w:style>
  <w:style w:type="table" w:styleId="TableGrid">
    <w:name w:val="Table Grid"/>
    <w:basedOn w:val="TableNormal"/>
    <w:rsid w:val="007A4F6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484D33"/>
    <w:pPr>
      <w:autoSpaceDE w:val="0"/>
      <w:autoSpaceDN w:val="0"/>
      <w:adjustRightInd w:val="0"/>
    </w:pPr>
    <w:rPr>
      <w:rFonts w:ascii="Arial" w:hAnsi="Arial" w:cs="Arial"/>
      <w:color w:val="000000"/>
      <w:sz w:val="24"/>
      <w:szCs w:val="24"/>
    </w:rPr>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
    <w:basedOn w:val="DefaultParagraphFont"/>
    <w:link w:val="ListParagraph"/>
    <w:uiPriority w:val="34"/>
    <w:qFormat/>
    <w:rsid w:val="009A4E46"/>
    <w:rPr>
      <w:rFonts w:eastAsia="Calibri"/>
    </w:rPr>
  </w:style>
  <w:style w:type="character" w:customStyle="1" w:styleId="B2Char">
    <w:name w:val="B2 Char"/>
    <w:link w:val="B2"/>
    <w:locked/>
    <w:rsid w:val="00D7446F"/>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44645290">
      <w:bodyDiv w:val="1"/>
      <w:marLeft w:val="0"/>
      <w:marRight w:val="0"/>
      <w:marTop w:val="0"/>
      <w:marBottom w:val="0"/>
      <w:divBdr>
        <w:top w:val="none" w:sz="0" w:space="0" w:color="auto"/>
        <w:left w:val="none" w:sz="0" w:space="0" w:color="auto"/>
        <w:bottom w:val="none" w:sz="0" w:space="0" w:color="auto"/>
        <w:right w:val="none" w:sz="0" w:space="0" w:color="auto"/>
      </w:divBdr>
      <w:divsChild>
        <w:div w:id="598484436">
          <w:marLeft w:val="547"/>
          <w:marRight w:val="0"/>
          <w:marTop w:val="115"/>
          <w:marBottom w:val="0"/>
          <w:divBdr>
            <w:top w:val="none" w:sz="0" w:space="0" w:color="auto"/>
            <w:left w:val="none" w:sz="0" w:space="0" w:color="auto"/>
            <w:bottom w:val="none" w:sz="0" w:space="0" w:color="auto"/>
            <w:right w:val="none" w:sz="0" w:space="0" w:color="auto"/>
          </w:divBdr>
        </w:div>
        <w:div w:id="2004891953">
          <w:marLeft w:val="1166"/>
          <w:marRight w:val="0"/>
          <w:marTop w:val="115"/>
          <w:marBottom w:val="0"/>
          <w:divBdr>
            <w:top w:val="none" w:sz="0" w:space="0" w:color="auto"/>
            <w:left w:val="none" w:sz="0" w:space="0" w:color="auto"/>
            <w:bottom w:val="none" w:sz="0" w:space="0" w:color="auto"/>
            <w:right w:val="none" w:sz="0" w:space="0" w:color="auto"/>
          </w:divBdr>
        </w:div>
        <w:div w:id="1407340868">
          <w:marLeft w:val="1166"/>
          <w:marRight w:val="0"/>
          <w:marTop w:val="115"/>
          <w:marBottom w:val="0"/>
          <w:divBdr>
            <w:top w:val="none" w:sz="0" w:space="0" w:color="auto"/>
            <w:left w:val="none" w:sz="0" w:space="0" w:color="auto"/>
            <w:bottom w:val="none" w:sz="0" w:space="0" w:color="auto"/>
            <w:right w:val="none" w:sz="0" w:space="0" w:color="auto"/>
          </w:divBdr>
        </w:div>
      </w:divsChild>
    </w:div>
    <w:div w:id="980615888">
      <w:bodyDiv w:val="1"/>
      <w:marLeft w:val="0"/>
      <w:marRight w:val="0"/>
      <w:marTop w:val="0"/>
      <w:marBottom w:val="0"/>
      <w:divBdr>
        <w:top w:val="none" w:sz="0" w:space="0" w:color="auto"/>
        <w:left w:val="none" w:sz="0" w:space="0" w:color="auto"/>
        <w:bottom w:val="none" w:sz="0" w:space="0" w:color="auto"/>
        <w:right w:val="none" w:sz="0" w:space="0" w:color="auto"/>
      </w:divBdr>
    </w:div>
    <w:div w:id="1063600352">
      <w:bodyDiv w:val="1"/>
      <w:marLeft w:val="0"/>
      <w:marRight w:val="0"/>
      <w:marTop w:val="0"/>
      <w:marBottom w:val="0"/>
      <w:divBdr>
        <w:top w:val="none" w:sz="0" w:space="0" w:color="auto"/>
        <w:left w:val="none" w:sz="0" w:space="0" w:color="auto"/>
        <w:bottom w:val="none" w:sz="0" w:space="0" w:color="auto"/>
        <w:right w:val="none" w:sz="0" w:space="0" w:color="auto"/>
      </w:divBdr>
    </w:div>
    <w:div w:id="1072850006">
      <w:bodyDiv w:val="1"/>
      <w:marLeft w:val="0"/>
      <w:marRight w:val="0"/>
      <w:marTop w:val="0"/>
      <w:marBottom w:val="0"/>
      <w:divBdr>
        <w:top w:val="none" w:sz="0" w:space="0" w:color="auto"/>
        <w:left w:val="none" w:sz="0" w:space="0" w:color="auto"/>
        <w:bottom w:val="none" w:sz="0" w:space="0" w:color="auto"/>
        <w:right w:val="none" w:sz="0" w:space="0" w:color="auto"/>
      </w:divBdr>
    </w:div>
    <w:div w:id="1143234212">
      <w:bodyDiv w:val="1"/>
      <w:marLeft w:val="0"/>
      <w:marRight w:val="0"/>
      <w:marTop w:val="0"/>
      <w:marBottom w:val="0"/>
      <w:divBdr>
        <w:top w:val="none" w:sz="0" w:space="0" w:color="auto"/>
        <w:left w:val="none" w:sz="0" w:space="0" w:color="auto"/>
        <w:bottom w:val="none" w:sz="0" w:space="0" w:color="auto"/>
        <w:right w:val="none" w:sz="0" w:space="0" w:color="auto"/>
      </w:divBdr>
    </w:div>
    <w:div w:id="1198159751">
      <w:bodyDiv w:val="1"/>
      <w:marLeft w:val="0"/>
      <w:marRight w:val="0"/>
      <w:marTop w:val="0"/>
      <w:marBottom w:val="0"/>
      <w:divBdr>
        <w:top w:val="none" w:sz="0" w:space="0" w:color="auto"/>
        <w:left w:val="none" w:sz="0" w:space="0" w:color="auto"/>
        <w:bottom w:val="none" w:sz="0" w:space="0" w:color="auto"/>
        <w:right w:val="none" w:sz="0" w:space="0" w:color="auto"/>
      </w:divBdr>
    </w:div>
    <w:div w:id="1304236312">
      <w:bodyDiv w:val="1"/>
      <w:marLeft w:val="0"/>
      <w:marRight w:val="0"/>
      <w:marTop w:val="0"/>
      <w:marBottom w:val="0"/>
      <w:divBdr>
        <w:top w:val="none" w:sz="0" w:space="0" w:color="auto"/>
        <w:left w:val="none" w:sz="0" w:space="0" w:color="auto"/>
        <w:bottom w:val="none" w:sz="0" w:space="0" w:color="auto"/>
        <w:right w:val="none" w:sz="0" w:space="0" w:color="auto"/>
      </w:divBdr>
    </w:div>
    <w:div w:id="1415392236">
      <w:bodyDiv w:val="1"/>
      <w:marLeft w:val="0"/>
      <w:marRight w:val="0"/>
      <w:marTop w:val="0"/>
      <w:marBottom w:val="0"/>
      <w:divBdr>
        <w:top w:val="none" w:sz="0" w:space="0" w:color="auto"/>
        <w:left w:val="none" w:sz="0" w:space="0" w:color="auto"/>
        <w:bottom w:val="none" w:sz="0" w:space="0" w:color="auto"/>
        <w:right w:val="none" w:sz="0" w:space="0" w:color="auto"/>
      </w:divBdr>
    </w:div>
    <w:div w:id="1512600437">
      <w:bodyDiv w:val="1"/>
      <w:marLeft w:val="0"/>
      <w:marRight w:val="0"/>
      <w:marTop w:val="0"/>
      <w:marBottom w:val="0"/>
      <w:divBdr>
        <w:top w:val="none" w:sz="0" w:space="0" w:color="auto"/>
        <w:left w:val="none" w:sz="0" w:space="0" w:color="auto"/>
        <w:bottom w:val="none" w:sz="0" w:space="0" w:color="auto"/>
        <w:right w:val="none" w:sz="0" w:space="0" w:color="auto"/>
      </w:divBdr>
    </w:div>
    <w:div w:id="1611086966">
      <w:bodyDiv w:val="1"/>
      <w:marLeft w:val="0"/>
      <w:marRight w:val="0"/>
      <w:marTop w:val="0"/>
      <w:marBottom w:val="0"/>
      <w:divBdr>
        <w:top w:val="none" w:sz="0" w:space="0" w:color="auto"/>
        <w:left w:val="none" w:sz="0" w:space="0" w:color="auto"/>
        <w:bottom w:val="none" w:sz="0" w:space="0" w:color="auto"/>
        <w:right w:val="none" w:sz="0" w:space="0" w:color="auto"/>
      </w:divBdr>
    </w:div>
    <w:div w:id="1707948215">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emf"/><Relationship Id="rId3" Type="http://schemas.openxmlformats.org/officeDocument/2006/relationships/customXml" Target="../customXml/item2.xml"/><Relationship Id="rId21" Type="http://schemas.openxmlformats.org/officeDocument/2006/relationships/image" Target="media/image10.emf"/><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emf"/><Relationship Id="rId2" Type="http://schemas.openxmlformats.org/officeDocument/2006/relationships/customXml" Target="../customXml/item1.xml"/><Relationship Id="rId16" Type="http://schemas.openxmlformats.org/officeDocument/2006/relationships/image" Target="media/image5.png"/><Relationship Id="rId20" Type="http://schemas.openxmlformats.org/officeDocument/2006/relationships/image" Target="media/image9.emf"/><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image" Target="media/image4.png"/><Relationship Id="rId23"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image" Target="media/image8.emf"/><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1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2" ma:contentTypeDescription="Create a new document." ma:contentTypeScope="" ma:versionID="28f9cf7ff0947e6ff336ed57262b94f6">
  <xsd:schema xmlns:xsd="http://www.w3.org/2001/XMLSchema" xmlns:xs="http://www.w3.org/2001/XMLSchema" xmlns:p="http://schemas.microsoft.com/office/2006/metadata/properties" xmlns:ns2="bdd78157-346c-4767-bfdd-352789a5c5f1" xmlns:ns3="878f5c59-aec9-459c-acf8-8cf941473193" targetNamespace="http://schemas.microsoft.com/office/2006/metadata/properties" ma:root="true" ma:fieldsID="3e074cbbecf9664a3b9bd27592852fad" ns2:_="" ns3:_="">
    <xsd:import namespace="bdd78157-346c-4767-bfdd-352789a5c5f1"/>
    <xsd:import namespace="878f5c59-aec9-459c-acf8-8cf94147319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0B8DE3-FD5E-4CC7-B669-D1F10BD3FE2A}">
  <ds:schemaRefs>
    <ds:schemaRef ds:uri="http://purl.org/dc/terms/"/>
    <ds:schemaRef ds:uri="http://purl.org/dc/dcmitype/"/>
    <ds:schemaRef ds:uri="http://purl.org/dc/elements/1.1/"/>
    <ds:schemaRef ds:uri="http://schemas.microsoft.com/office/infopath/2007/PartnerControls"/>
    <ds:schemaRef ds:uri="http://schemas.microsoft.com/office/2006/metadata/properties"/>
    <ds:schemaRef ds:uri="bdd78157-346c-4767-bfdd-352789a5c5f1"/>
    <ds:schemaRef ds:uri="http://schemas.microsoft.com/office/2006/documentManagement/types"/>
    <ds:schemaRef ds:uri="http://schemas.openxmlformats.org/package/2006/metadata/core-properties"/>
    <ds:schemaRef ds:uri="878f5c59-aec9-459c-acf8-8cf941473193"/>
    <ds:schemaRef ds:uri="http://www.w3.org/XML/1998/namespace"/>
  </ds:schemaRefs>
</ds:datastoreItem>
</file>

<file path=customXml/itemProps2.xml><?xml version="1.0" encoding="utf-8"?>
<ds:datastoreItem xmlns:ds="http://schemas.openxmlformats.org/officeDocument/2006/customXml" ds:itemID="{36D48CBB-0A87-4681-9AD9-0EB632BB7422}">
  <ds:schemaRefs>
    <ds:schemaRef ds:uri="http://schemas.microsoft.com/sharepoint/v3/contenttype/forms"/>
  </ds:schemaRefs>
</ds:datastoreItem>
</file>

<file path=customXml/itemProps3.xml><?xml version="1.0" encoding="utf-8"?>
<ds:datastoreItem xmlns:ds="http://schemas.openxmlformats.org/officeDocument/2006/customXml" ds:itemID="{1D66EB68-6999-44B3-BF9E-B7AD702F9B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3B70171A-6F2F-4761-BEAC-0E9946082F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10</Pages>
  <Words>2985</Words>
  <Characters>17099</Characters>
  <Application>Microsoft Office Word</Application>
  <DocSecurity>0</DocSecurity>
  <Lines>142</Lines>
  <Paragraphs>40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20044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Thorsten Hertel (KEYS)</cp:lastModifiedBy>
  <cp:revision>49</cp:revision>
  <dcterms:created xsi:type="dcterms:W3CDTF">2019-06-30T20:45:00Z</dcterms:created>
  <dcterms:modified xsi:type="dcterms:W3CDTF">2021-05-11T16:39:00Z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0x01010017CD74E91CD4AF408185E1FC416F4AC4</vt:lpwstr>
  </property>
</Properties>
</file>